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i/>
        </w:rPr>
      </w:pPr>
    </w:p>
    <w:p>
      <w:pPr>
        <w:spacing w:line="500" w:lineRule="exact"/>
        <w:rPr>
          <w:i/>
        </w:rPr>
      </w:pPr>
    </w:p>
    <w:p>
      <w:pPr>
        <w:spacing w:line="500" w:lineRule="exact"/>
        <w:rPr>
          <w:i/>
        </w:rPr>
      </w:pPr>
    </w:p>
    <w:p>
      <w:pPr>
        <w:spacing w:line="500" w:lineRule="exact"/>
        <w:rPr>
          <w:i/>
        </w:rPr>
      </w:pPr>
    </w:p>
    <w:p>
      <w:pPr>
        <w:spacing w:line="500" w:lineRule="exact"/>
        <w:rPr>
          <w:i/>
        </w:rPr>
      </w:pPr>
    </w:p>
    <w:p>
      <w:pPr>
        <w:spacing w:line="500" w:lineRule="exact"/>
        <w:rPr>
          <w:i/>
        </w:rPr>
      </w:pPr>
    </w:p>
    <w:p>
      <w:pPr>
        <w:spacing w:line="240" w:lineRule="atLeast"/>
        <w:ind w:right="-57" w:rightChars="-27"/>
        <w:jc w:val="center"/>
        <w:rPr>
          <w:rFonts w:ascii="华文中宋" w:hAnsi="华文中宋" w:eastAsia="华文中宋" w:cs="黑体"/>
          <w:sz w:val="52"/>
          <w:szCs w:val="52"/>
        </w:rPr>
      </w:pPr>
      <w:r>
        <w:rPr>
          <w:rFonts w:hint="eastAsia" w:ascii="华文中宋" w:hAnsi="华文中宋" w:eastAsia="华文中宋" w:cs="黑体"/>
          <w:sz w:val="52"/>
          <w:szCs w:val="52"/>
        </w:rPr>
        <w:t>北京市政府采购项目</w:t>
      </w:r>
    </w:p>
    <w:p>
      <w:pPr>
        <w:spacing w:line="240" w:lineRule="atLeast"/>
        <w:ind w:right="-57" w:rightChars="-27"/>
        <w:jc w:val="center"/>
        <w:rPr>
          <w:rFonts w:ascii="华文中宋" w:hAnsi="华文中宋" w:eastAsia="华文中宋" w:cs="黑体"/>
          <w:sz w:val="52"/>
          <w:szCs w:val="52"/>
        </w:rPr>
      </w:pPr>
      <w:r>
        <w:rPr>
          <w:rFonts w:hint="eastAsia" w:ascii="华文中宋" w:hAnsi="华文中宋" w:eastAsia="华文中宋" w:cs="黑体"/>
          <w:sz w:val="52"/>
          <w:szCs w:val="52"/>
        </w:rPr>
        <w:t>公开招标文件</w:t>
      </w: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eastAsia="黑体"/>
          <w:b/>
          <w:sz w:val="84"/>
          <w:szCs w:val="84"/>
        </w:rPr>
      </w:pPr>
    </w:p>
    <w:p>
      <w:pPr>
        <w:spacing w:line="240" w:lineRule="atLeast"/>
        <w:ind w:right="-57" w:rightChars="-27"/>
        <w:jc w:val="center"/>
        <w:rPr>
          <w:sz w:val="32"/>
          <w:szCs w:val="32"/>
        </w:rPr>
      </w:pPr>
    </w:p>
    <w:p>
      <w:pPr>
        <w:spacing w:line="240" w:lineRule="atLeast"/>
        <w:ind w:right="-57" w:rightChars="-27"/>
        <w:jc w:val="center"/>
        <w:rPr>
          <w:sz w:val="32"/>
          <w:szCs w:val="32"/>
        </w:rPr>
      </w:pPr>
    </w:p>
    <w:p>
      <w:pPr>
        <w:spacing w:line="480" w:lineRule="auto"/>
        <w:ind w:right="-57" w:rightChars="-27" w:firstLine="1084" w:firstLineChars="300"/>
        <w:rPr>
          <w:rFonts w:eastAsia="黑体"/>
          <w:b/>
          <w:sz w:val="36"/>
          <w:szCs w:val="36"/>
        </w:rPr>
      </w:pPr>
      <w:r>
        <w:rPr>
          <w:rFonts w:hint="eastAsia" w:eastAsia="黑体"/>
          <w:b/>
          <w:sz w:val="36"/>
          <w:szCs w:val="36"/>
        </w:rPr>
        <w:t>项目名称：研究院新楼多媒体设备采购</w:t>
      </w:r>
    </w:p>
    <w:p>
      <w:pPr>
        <w:spacing w:line="480" w:lineRule="auto"/>
        <w:ind w:right="-57" w:rightChars="-27" w:firstLine="1084" w:firstLineChars="300"/>
        <w:rPr>
          <w:rFonts w:hint="default" w:eastAsia="黑体"/>
          <w:b/>
          <w:sz w:val="36"/>
          <w:szCs w:val="36"/>
          <w:lang w:val="en-US" w:eastAsia="zh-CN"/>
        </w:rPr>
      </w:pPr>
      <w:r>
        <w:rPr>
          <w:rFonts w:eastAsia="黑体"/>
          <w:b/>
          <w:sz w:val="36"/>
          <w:szCs w:val="36"/>
        </w:rPr>
        <w:t>项目编号：BIECC-2</w:t>
      </w:r>
      <w:r>
        <w:rPr>
          <w:rFonts w:hint="eastAsia" w:eastAsia="黑体"/>
          <w:b/>
          <w:sz w:val="36"/>
          <w:szCs w:val="36"/>
          <w:lang w:val="en-US" w:eastAsia="zh-CN"/>
        </w:rPr>
        <w:t>4</w:t>
      </w:r>
      <w:r>
        <w:rPr>
          <w:rFonts w:eastAsia="黑体"/>
          <w:b/>
          <w:sz w:val="36"/>
          <w:szCs w:val="36"/>
        </w:rPr>
        <w:t>CG</w:t>
      </w:r>
      <w:r>
        <w:rPr>
          <w:rFonts w:hint="eastAsia" w:eastAsia="黑体"/>
          <w:b/>
          <w:sz w:val="36"/>
          <w:szCs w:val="36"/>
          <w:lang w:val="en-US" w:eastAsia="zh-CN"/>
        </w:rPr>
        <w:t>10111</w:t>
      </w:r>
    </w:p>
    <w:p>
      <w:pPr>
        <w:spacing w:line="480" w:lineRule="auto"/>
        <w:ind w:right="-57" w:rightChars="-27" w:firstLine="1084" w:firstLineChars="300"/>
        <w:rPr>
          <w:rFonts w:eastAsia="黑体"/>
          <w:b/>
          <w:sz w:val="36"/>
          <w:szCs w:val="36"/>
        </w:rPr>
      </w:pPr>
      <w:r>
        <w:rPr>
          <w:rFonts w:eastAsia="黑体"/>
          <w:b/>
          <w:sz w:val="36"/>
          <w:szCs w:val="36"/>
        </w:rPr>
        <w:t>采购人</w:t>
      </w:r>
      <w:r>
        <w:rPr>
          <w:rFonts w:hint="eastAsia" w:eastAsia="黑体"/>
          <w:b/>
          <w:sz w:val="36"/>
          <w:szCs w:val="36"/>
        </w:rPr>
        <w:t>：北京雁栖湖应用数学研究院</w:t>
      </w:r>
    </w:p>
    <w:p>
      <w:pPr>
        <w:spacing w:line="480" w:lineRule="auto"/>
        <w:ind w:right="-57" w:rightChars="-27" w:firstLine="1084" w:firstLineChars="300"/>
        <w:rPr>
          <w:rFonts w:eastAsia="黑体"/>
          <w:b/>
          <w:sz w:val="36"/>
          <w:szCs w:val="36"/>
        </w:rPr>
      </w:pPr>
      <w:r>
        <w:rPr>
          <w:rFonts w:eastAsia="黑体"/>
          <w:b/>
          <w:sz w:val="36"/>
          <w:szCs w:val="36"/>
        </w:rPr>
        <w:t>采购代理机构</w:t>
      </w:r>
      <w:r>
        <w:rPr>
          <w:rFonts w:hint="eastAsia" w:eastAsia="黑体"/>
          <w:b/>
          <w:sz w:val="36"/>
          <w:szCs w:val="36"/>
        </w:rPr>
        <w:t>：北京国际工程咨询有限公司</w:t>
      </w:r>
    </w:p>
    <w:p>
      <w:pPr>
        <w:spacing w:line="240" w:lineRule="atLeast"/>
        <w:ind w:right="-57" w:rightChars="-27"/>
        <w:jc w:val="center"/>
        <w:rPr>
          <w:sz w:val="32"/>
          <w:szCs w:val="32"/>
        </w:rPr>
      </w:pPr>
    </w:p>
    <w:p>
      <w:pPr>
        <w:spacing w:line="240" w:lineRule="atLeast"/>
        <w:ind w:right="-57" w:rightChars="-27"/>
        <w:jc w:val="center"/>
        <w:rPr>
          <w:sz w:val="32"/>
          <w:szCs w:val="32"/>
        </w:rPr>
      </w:pPr>
    </w:p>
    <w:p>
      <w:pPr>
        <w:spacing w:line="240" w:lineRule="atLeast"/>
        <w:ind w:right="-57" w:rightChars="-27"/>
        <w:jc w:val="center"/>
        <w:rPr>
          <w:sz w:val="32"/>
          <w:szCs w:val="32"/>
        </w:rPr>
        <w:sectPr>
          <w:footerReference r:id="rId3" w:type="default"/>
          <w:type w:val="nextColumn"/>
          <w:pgSz w:w="11907" w:h="16840"/>
          <w:pgMar w:top="1418" w:right="1134" w:bottom="1418" w:left="1701" w:header="851" w:footer="851" w:gutter="0"/>
          <w:pgNumType w:start="0"/>
          <w:cols w:space="720" w:num="1"/>
          <w:titlePg/>
          <w:docGrid w:linePitch="462" w:charSpace="0"/>
        </w:sectPr>
      </w:pPr>
    </w:p>
    <w:p>
      <w:pPr>
        <w:spacing w:line="240" w:lineRule="atLeast"/>
        <w:ind w:right="-57" w:rightChars="-27"/>
        <w:jc w:val="center"/>
        <w:rPr>
          <w:sz w:val="32"/>
          <w:szCs w:val="32"/>
        </w:rPr>
      </w:pPr>
    </w:p>
    <w:p>
      <w:pPr>
        <w:tabs>
          <w:tab w:val="left" w:pos="7377"/>
        </w:tabs>
        <w:spacing w:line="240" w:lineRule="atLeast"/>
        <w:ind w:right="-57" w:rightChars="-27"/>
        <w:jc w:val="center"/>
        <w:rPr>
          <w:b/>
        </w:rPr>
      </w:pPr>
    </w:p>
    <w:p>
      <w:pPr>
        <w:spacing w:line="360" w:lineRule="auto"/>
        <w:jc w:val="center"/>
        <w:outlineLvl w:val="0"/>
        <w:rPr>
          <w:b/>
          <w:sz w:val="36"/>
          <w:szCs w:val="36"/>
        </w:rPr>
      </w:pPr>
      <w:bookmarkStart w:id="0" w:name="_Toc99301418"/>
      <w:bookmarkStart w:id="1" w:name="_Toc10732"/>
      <w:r>
        <w:rPr>
          <w:b/>
          <w:sz w:val="36"/>
          <w:szCs w:val="36"/>
        </w:rPr>
        <w:t>目      录</w:t>
      </w:r>
      <w:bookmarkEnd w:id="0"/>
      <w:bookmarkEnd w:id="1"/>
    </w:p>
    <w:p>
      <w:bookmarkStart w:id="1103" w:name="_GoBack"/>
      <w:bookmarkEnd w:id="1103"/>
    </w:p>
    <w:p/>
    <w:p/>
    <w:p>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sz w:val="24"/>
          <w:szCs w:val="24"/>
        </w:rPr>
        <w:fldChar w:fldCharType="begin"/>
      </w:r>
      <w:r>
        <w:rPr>
          <w:rFonts w:hint="eastAsia" w:asciiTheme="minorEastAsia" w:hAnsiTheme="minorEastAsia" w:eastAsiaTheme="minorEastAsia" w:cstheme="minorEastAsia"/>
          <w:b w:val="0"/>
          <w:sz w:val="24"/>
          <w:szCs w:val="24"/>
        </w:rPr>
        <w:instrText xml:space="preserve"> TOC \o "1-1" \h \z \u </w:instrText>
      </w:r>
      <w:r>
        <w:rPr>
          <w:rFonts w:hint="eastAsia" w:asciiTheme="minorEastAsia" w:hAnsiTheme="minorEastAsia" w:eastAsiaTheme="minorEastAsia" w:cstheme="minorEastAsia"/>
          <w:b w:val="0"/>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_Toc29362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第一章   投标邀请</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_Toc29362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_Toc11071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第二章   投标人须知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_Toc11071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_Toc7276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第三章   资格审查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_Toc7276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_Toc15892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第四章   评标程序、评标方法和评标标准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_Toc15892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_Toc26752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第五章   采购需求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_Toc26752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_Toc11842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第六章   拟签订的合同文本</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_Toc11842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_Toc29785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第七章   投标文件格式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_Toc29785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30"/>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b w:val="0"/>
        </w:rPr>
      </w:pPr>
      <w:r>
        <w:rPr>
          <w:rFonts w:hint="eastAsia" w:asciiTheme="minorEastAsia" w:hAnsiTheme="minorEastAsia" w:eastAsiaTheme="minorEastAsia" w:cstheme="minorEastAsia"/>
          <w:sz w:val="24"/>
          <w:szCs w:val="24"/>
        </w:rPr>
        <w:fldChar w:fldCharType="end"/>
      </w:r>
    </w:p>
    <w:p>
      <w:pPr>
        <w:spacing w:line="360" w:lineRule="auto"/>
        <w:jc w:val="center"/>
        <w:outlineLvl w:val="0"/>
        <w:rPr>
          <w:b/>
          <w:sz w:val="36"/>
          <w:szCs w:val="36"/>
        </w:rPr>
      </w:pPr>
      <w:r>
        <w:rPr>
          <w:sz w:val="24"/>
        </w:rPr>
        <w:br w:type="page"/>
      </w:r>
      <w:bookmarkStart w:id="2" w:name="_Toc29362"/>
      <w:r>
        <w:rPr>
          <w:b/>
          <w:sz w:val="36"/>
          <w:szCs w:val="36"/>
        </w:rPr>
        <w:t>第一章   投标邀请</w:t>
      </w:r>
      <w:bookmarkEnd w:id="2"/>
    </w:p>
    <w:p>
      <w:pPr>
        <w:spacing w:line="360" w:lineRule="auto"/>
        <w:ind w:firstLine="640" w:firstLineChars="200"/>
        <w:rPr>
          <w:sz w:val="32"/>
          <w:szCs w:val="32"/>
        </w:rPr>
      </w:pPr>
    </w:p>
    <w:p>
      <w:pPr>
        <w:pStyle w:val="4"/>
        <w:spacing w:before="0" w:line="360" w:lineRule="auto"/>
        <w:jc w:val="left"/>
        <w:rPr>
          <w:rFonts w:ascii="Times New Roman" w:hAnsi="Times New Roman" w:eastAsia="宋体"/>
          <w:sz w:val="24"/>
          <w:szCs w:val="24"/>
        </w:rPr>
      </w:pPr>
      <w:bookmarkStart w:id="3" w:name="_Toc35393790"/>
      <w:bookmarkStart w:id="4" w:name="_Toc28359079"/>
      <w:bookmarkStart w:id="5" w:name="_Toc28359002"/>
      <w:bookmarkStart w:id="6" w:name="_Toc35393621"/>
      <w:bookmarkStart w:id="7" w:name="_Hlk24379207"/>
      <w:r>
        <w:rPr>
          <w:rFonts w:ascii="Times New Roman" w:hAnsi="Times New Roman" w:eastAsia="宋体"/>
          <w:sz w:val="24"/>
          <w:szCs w:val="24"/>
        </w:rPr>
        <w:t>一、项目基本情况</w:t>
      </w:r>
      <w:bookmarkEnd w:id="3"/>
      <w:bookmarkEnd w:id="4"/>
      <w:bookmarkEnd w:id="5"/>
      <w:bookmarkEnd w:id="6"/>
    </w:p>
    <w:p>
      <w:pPr>
        <w:spacing w:line="360" w:lineRule="auto"/>
        <w:ind w:firstLine="480" w:firstLineChars="200"/>
        <w:rPr>
          <w:rFonts w:hint="default" w:eastAsia="宋体"/>
          <w:sz w:val="24"/>
          <w:lang w:val="en-US" w:eastAsia="zh-CN"/>
        </w:rPr>
      </w:pPr>
      <w:r>
        <w:rPr>
          <w:sz w:val="24"/>
        </w:rPr>
        <w:t>1.项目编号/包号：</w:t>
      </w:r>
      <w:r>
        <w:rPr>
          <w:sz w:val="24"/>
          <w:u w:val="single"/>
        </w:rPr>
        <w:t>BIECC-2</w:t>
      </w:r>
      <w:r>
        <w:rPr>
          <w:rFonts w:hint="eastAsia"/>
          <w:sz w:val="24"/>
          <w:u w:val="single"/>
          <w:lang w:val="en-US" w:eastAsia="zh-CN"/>
        </w:rPr>
        <w:t>4</w:t>
      </w:r>
      <w:r>
        <w:rPr>
          <w:sz w:val="24"/>
          <w:u w:val="single"/>
        </w:rPr>
        <w:t>CG</w:t>
      </w:r>
      <w:r>
        <w:rPr>
          <w:rFonts w:hint="eastAsia"/>
          <w:sz w:val="24"/>
          <w:u w:val="single"/>
          <w:lang w:val="en-US" w:eastAsia="zh-CN"/>
        </w:rPr>
        <w:t>10111</w:t>
      </w:r>
    </w:p>
    <w:p>
      <w:pPr>
        <w:spacing w:line="360" w:lineRule="auto"/>
        <w:ind w:firstLine="480" w:firstLineChars="200"/>
        <w:rPr>
          <w:sz w:val="24"/>
        </w:rPr>
      </w:pPr>
      <w:r>
        <w:rPr>
          <w:sz w:val="24"/>
        </w:rPr>
        <w:t>2.项目名称：</w:t>
      </w:r>
      <w:r>
        <w:rPr>
          <w:rFonts w:hint="eastAsia"/>
          <w:sz w:val="24"/>
          <w:u w:val="single"/>
        </w:rPr>
        <w:t>研究院新楼多媒体设备采购</w:t>
      </w:r>
    </w:p>
    <w:bookmarkEnd w:id="7"/>
    <w:p>
      <w:pPr>
        <w:spacing w:line="360" w:lineRule="auto"/>
        <w:ind w:firstLine="480" w:firstLineChars="200"/>
        <w:rPr>
          <w:sz w:val="24"/>
        </w:rPr>
      </w:pPr>
      <w:r>
        <w:rPr>
          <w:sz w:val="24"/>
        </w:rPr>
        <w:t>3.项目预算金额：</w:t>
      </w:r>
      <w:r>
        <w:rPr>
          <w:rFonts w:hint="eastAsia"/>
          <w:sz w:val="24"/>
          <w:u w:val="single"/>
          <w:lang w:val="en-US" w:eastAsia="zh-CN"/>
        </w:rPr>
        <w:t>150.00</w:t>
      </w:r>
      <w:r>
        <w:rPr>
          <w:sz w:val="24"/>
        </w:rPr>
        <w:t>万元、项目最高限价（如有）：</w:t>
      </w:r>
      <w:r>
        <w:rPr>
          <w:rFonts w:hint="eastAsia"/>
          <w:sz w:val="24"/>
          <w:u w:val="single"/>
          <w:lang w:val="en-US" w:eastAsia="zh-CN"/>
        </w:rPr>
        <w:t>150.00</w:t>
      </w:r>
      <w:r>
        <w:rPr>
          <w:sz w:val="24"/>
        </w:rPr>
        <w:t>万元</w:t>
      </w:r>
    </w:p>
    <w:p>
      <w:pPr>
        <w:spacing w:line="360" w:lineRule="auto"/>
        <w:ind w:firstLine="480" w:firstLineChars="200"/>
        <w:rPr>
          <w:sz w:val="24"/>
        </w:rPr>
      </w:pPr>
      <w:r>
        <w:rPr>
          <w:sz w:val="24"/>
        </w:rPr>
        <w:t>4.采购需求：</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556"/>
        <w:gridCol w:w="1954"/>
        <w:gridCol w:w="1420"/>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jc w:val="center"/>
              <w:rPr>
                <w:rFonts w:ascii="宋体" w:hAnsi="宋体"/>
                <w:bCs/>
                <w:sz w:val="24"/>
              </w:rPr>
            </w:pPr>
            <w:r>
              <w:rPr>
                <w:rFonts w:ascii="宋体" w:hAnsi="宋体"/>
                <w:bCs/>
                <w:sz w:val="24"/>
              </w:rPr>
              <w:t>包号</w:t>
            </w:r>
          </w:p>
        </w:tc>
        <w:tc>
          <w:tcPr>
            <w:tcW w:w="842" w:type="pct"/>
            <w:vAlign w:val="center"/>
          </w:tcPr>
          <w:p>
            <w:pPr>
              <w:jc w:val="center"/>
              <w:rPr>
                <w:rFonts w:ascii="宋体" w:hAnsi="宋体"/>
                <w:bCs/>
                <w:sz w:val="24"/>
              </w:rPr>
            </w:pPr>
            <w:r>
              <w:rPr>
                <w:rFonts w:ascii="宋体" w:hAnsi="宋体"/>
                <w:bCs/>
                <w:sz w:val="24"/>
              </w:rPr>
              <w:t>标的名称</w:t>
            </w:r>
          </w:p>
        </w:tc>
        <w:tc>
          <w:tcPr>
            <w:tcW w:w="1057" w:type="pct"/>
            <w:vAlign w:val="center"/>
          </w:tcPr>
          <w:p>
            <w:pPr>
              <w:jc w:val="center"/>
              <w:rPr>
                <w:rFonts w:ascii="宋体" w:hAnsi="宋体"/>
                <w:bCs/>
                <w:sz w:val="24"/>
              </w:rPr>
            </w:pPr>
            <w:r>
              <w:rPr>
                <w:rFonts w:ascii="宋体" w:hAnsi="宋体"/>
                <w:bCs/>
                <w:sz w:val="24"/>
              </w:rPr>
              <w:t>采购包预算金额</w:t>
            </w:r>
          </w:p>
          <w:p>
            <w:pPr>
              <w:jc w:val="center"/>
              <w:rPr>
                <w:rFonts w:ascii="宋体" w:hAnsi="宋体"/>
                <w:bCs/>
                <w:sz w:val="24"/>
              </w:rPr>
            </w:pPr>
            <w:r>
              <w:rPr>
                <w:rFonts w:ascii="宋体" w:hAnsi="宋体"/>
                <w:bCs/>
                <w:sz w:val="24"/>
              </w:rPr>
              <w:t>（万元）</w:t>
            </w:r>
          </w:p>
        </w:tc>
        <w:tc>
          <w:tcPr>
            <w:tcW w:w="768" w:type="pct"/>
            <w:vAlign w:val="center"/>
          </w:tcPr>
          <w:p>
            <w:pPr>
              <w:jc w:val="center"/>
              <w:rPr>
                <w:rFonts w:ascii="宋体" w:hAnsi="宋体"/>
                <w:bCs/>
                <w:sz w:val="24"/>
              </w:rPr>
            </w:pPr>
            <w:r>
              <w:rPr>
                <w:rFonts w:ascii="宋体" w:hAnsi="宋体"/>
                <w:bCs/>
                <w:sz w:val="24"/>
              </w:rPr>
              <w:t>数量</w:t>
            </w:r>
          </w:p>
        </w:tc>
        <w:tc>
          <w:tcPr>
            <w:tcW w:w="1948" w:type="pct"/>
            <w:vAlign w:val="center"/>
          </w:tcPr>
          <w:p>
            <w:pPr>
              <w:jc w:val="center"/>
              <w:rPr>
                <w:rFonts w:ascii="宋体" w:hAnsi="宋体"/>
                <w:sz w:val="24"/>
              </w:rPr>
            </w:pPr>
            <w:r>
              <w:rPr>
                <w:rFonts w:ascii="宋体" w:hAnsi="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jc w:val="center"/>
              <w:rPr>
                <w:rFonts w:ascii="宋体" w:hAnsi="宋体"/>
                <w:bCs/>
                <w:sz w:val="24"/>
              </w:rPr>
            </w:pPr>
            <w:r>
              <w:rPr>
                <w:rFonts w:ascii="宋体" w:hAnsi="宋体"/>
                <w:bCs/>
                <w:sz w:val="24"/>
              </w:rPr>
              <w:t>01</w:t>
            </w:r>
          </w:p>
        </w:tc>
        <w:tc>
          <w:tcPr>
            <w:tcW w:w="842" w:type="pct"/>
            <w:vAlign w:val="center"/>
          </w:tcPr>
          <w:p>
            <w:pPr>
              <w:widowControl/>
              <w:spacing w:line="360" w:lineRule="auto"/>
              <w:jc w:val="center"/>
              <w:rPr>
                <w:rFonts w:hint="default" w:cs="宋体" w:asciiTheme="minorEastAsia" w:hAnsiTheme="minorEastAsia" w:eastAsiaTheme="minorEastAsia"/>
                <w:b/>
                <w:bCs/>
                <w:color w:val="000000"/>
                <w:kern w:val="0"/>
                <w:sz w:val="24"/>
                <w:lang w:val="en-US" w:eastAsia="zh-CN"/>
              </w:rPr>
            </w:pPr>
            <w:r>
              <w:rPr>
                <w:rFonts w:hint="eastAsia" w:cs="宋体" w:asciiTheme="minorEastAsia" w:hAnsiTheme="minorEastAsia" w:eastAsiaTheme="minorEastAsia"/>
                <w:color w:val="000000"/>
                <w:kern w:val="0"/>
                <w:sz w:val="24"/>
                <w:lang w:val="en-US" w:eastAsia="zh-CN"/>
              </w:rPr>
              <w:t>多媒体设备</w:t>
            </w:r>
          </w:p>
        </w:tc>
        <w:tc>
          <w:tcPr>
            <w:tcW w:w="1057" w:type="pct"/>
            <w:vAlign w:val="center"/>
          </w:tcPr>
          <w:p>
            <w:pPr>
              <w:jc w:val="center"/>
              <w:rPr>
                <w:rFonts w:hint="default" w:ascii="宋体" w:hAnsi="宋体" w:eastAsia="宋体"/>
                <w:bCs/>
                <w:sz w:val="24"/>
                <w:lang w:val="en-US" w:eastAsia="zh-CN"/>
              </w:rPr>
            </w:pPr>
            <w:r>
              <w:rPr>
                <w:rFonts w:hint="eastAsia" w:ascii="宋体" w:hAnsi="宋体"/>
                <w:bCs/>
                <w:sz w:val="24"/>
                <w:lang w:val="en-US" w:eastAsia="zh-CN"/>
              </w:rPr>
              <w:t>150.00</w:t>
            </w:r>
          </w:p>
        </w:tc>
        <w:tc>
          <w:tcPr>
            <w:tcW w:w="768" w:type="pct"/>
            <w:vAlign w:val="center"/>
          </w:tcPr>
          <w:p>
            <w:pPr>
              <w:widowControl/>
              <w:spacing w:line="360" w:lineRule="auto"/>
              <w:jc w:val="center"/>
              <w:rPr>
                <w:rFonts w:hint="eastAsia" w:cs="宋体" w:asciiTheme="minorEastAsia" w:hAnsiTheme="minorEastAsia" w:eastAsiaTheme="minorEastAsia"/>
                <w:b/>
                <w:bCs/>
                <w:color w:val="000000"/>
                <w:kern w:val="0"/>
                <w:sz w:val="24"/>
                <w:lang w:eastAsia="zh-CN"/>
              </w:rPr>
            </w:pPr>
            <w:r>
              <w:rPr>
                <w:rFonts w:hint="eastAsia" w:cs="宋体" w:asciiTheme="minorEastAsia" w:hAnsiTheme="minorEastAsia" w:eastAsiaTheme="minorEastAsia"/>
                <w:color w:val="000000"/>
                <w:kern w:val="0"/>
                <w:sz w:val="24"/>
                <w:lang w:val="en-US" w:eastAsia="zh-CN"/>
              </w:rPr>
              <w:t>一批</w:t>
            </w:r>
          </w:p>
        </w:tc>
        <w:tc>
          <w:tcPr>
            <w:tcW w:w="1948" w:type="pct"/>
            <w:vAlign w:val="center"/>
          </w:tcPr>
          <w:p>
            <w:pPr>
              <w:jc w:val="center"/>
              <w:rPr>
                <w:rFonts w:ascii="宋体" w:hAnsi="宋体"/>
                <w:kern w:val="0"/>
                <w:sz w:val="24"/>
              </w:rPr>
            </w:pPr>
            <w:r>
              <w:rPr>
                <w:rFonts w:hint="eastAsia" w:ascii="宋体" w:hAnsi="宋体"/>
                <w:kern w:val="0"/>
                <w:sz w:val="24"/>
              </w:rPr>
              <w:t>详见第五章《采购需求》。</w:t>
            </w:r>
          </w:p>
        </w:tc>
      </w:tr>
    </w:tbl>
    <w:p>
      <w:pPr>
        <w:spacing w:line="360" w:lineRule="auto"/>
        <w:ind w:firstLine="480" w:firstLineChars="200"/>
        <w:rPr>
          <w:rFonts w:hint="default" w:eastAsia="宋体"/>
          <w:sz w:val="24"/>
          <w:highlight w:val="none"/>
          <w:u w:val="single"/>
          <w:lang w:val="en-US" w:eastAsia="zh-CN"/>
        </w:rPr>
      </w:pPr>
      <w:r>
        <w:rPr>
          <w:sz w:val="24"/>
          <w:highlight w:val="none"/>
        </w:rPr>
        <w:t>5.合同履行期限：</w:t>
      </w:r>
      <w:r>
        <w:rPr>
          <w:rFonts w:hint="eastAsia"/>
          <w:sz w:val="24"/>
          <w:highlight w:val="none"/>
          <w:u w:val="single"/>
          <w:lang w:val="en-US" w:eastAsia="zh-CN"/>
        </w:rPr>
        <w:t>2024年6月28日之前完成安装调试工作</w:t>
      </w:r>
    </w:p>
    <w:p>
      <w:pPr>
        <w:spacing w:line="360" w:lineRule="auto"/>
        <w:ind w:firstLine="480" w:firstLineChars="200"/>
        <w:rPr>
          <w:sz w:val="24"/>
        </w:rPr>
      </w:pPr>
      <w:r>
        <w:rPr>
          <w:sz w:val="24"/>
        </w:rPr>
        <w:t xml:space="preserve">6.本项目是否接受联合体投标：□是  </w:t>
      </w:r>
      <w:r>
        <w:rPr>
          <w:rFonts w:hint="eastAsia"/>
          <w:sz w:val="18"/>
          <w:szCs w:val="18"/>
        </w:rPr>
        <w:t>■</w:t>
      </w:r>
      <w:r>
        <w:rPr>
          <w:sz w:val="24"/>
        </w:rPr>
        <w:t>否。</w:t>
      </w:r>
    </w:p>
    <w:p>
      <w:pPr>
        <w:spacing w:line="360" w:lineRule="auto"/>
        <w:ind w:firstLine="480" w:firstLineChars="200"/>
        <w:rPr>
          <w:sz w:val="24"/>
        </w:rPr>
      </w:pPr>
    </w:p>
    <w:p>
      <w:pPr>
        <w:pStyle w:val="4"/>
        <w:spacing w:before="0" w:line="360" w:lineRule="auto"/>
        <w:jc w:val="left"/>
        <w:rPr>
          <w:rFonts w:ascii="Times New Roman" w:hAnsi="Times New Roman" w:eastAsia="宋体"/>
          <w:sz w:val="24"/>
          <w:szCs w:val="24"/>
        </w:rPr>
      </w:pPr>
      <w:bookmarkStart w:id="8" w:name="_Toc28359080"/>
      <w:bookmarkStart w:id="9" w:name="_Toc28359003"/>
      <w:bookmarkStart w:id="10" w:name="_Toc35393622"/>
      <w:bookmarkStart w:id="11" w:name="_Toc35393791"/>
      <w:r>
        <w:rPr>
          <w:rFonts w:ascii="Times New Roman" w:hAnsi="Times New Roman" w:eastAsia="宋体"/>
          <w:sz w:val="24"/>
          <w:szCs w:val="24"/>
        </w:rPr>
        <w:t>二、申请人的资格要求（须同时满足）</w:t>
      </w:r>
      <w:bookmarkEnd w:id="8"/>
      <w:bookmarkEnd w:id="9"/>
      <w:bookmarkEnd w:id="10"/>
      <w:bookmarkEnd w:id="11"/>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2" w:name="_Toc28359081"/>
      <w:bookmarkStart w:id="13" w:name="_Toc28359004"/>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540" w:firstLineChars="300"/>
        <w:rPr>
          <w:sz w:val="24"/>
        </w:rPr>
      </w:pPr>
      <w:r>
        <w:rPr>
          <w:rFonts w:hint="eastAsia"/>
          <w:sz w:val="18"/>
          <w:szCs w:val="18"/>
        </w:rPr>
        <w:t>■</w:t>
      </w:r>
      <w:r>
        <w:rPr>
          <w:sz w:val="24"/>
        </w:rPr>
        <w:t>本项目不专门面向中小企业预留采购份额。</w:t>
      </w:r>
    </w:p>
    <w:p>
      <w:pPr>
        <w:spacing w:line="360" w:lineRule="auto"/>
        <w:ind w:firstLine="566" w:firstLineChars="236"/>
        <w:rPr>
          <w:sz w:val="24"/>
        </w:rPr>
      </w:pPr>
      <w:r>
        <w:rPr>
          <w:sz w:val="24"/>
        </w:rPr>
        <w:t>□本项目专门面向  □中小 □小微企业  采购。即：提供的货物全部由符合政策要求的中小/小微企业制造、服务全部由符合政策要求的中小/小微企业承接。</w:t>
      </w:r>
    </w:p>
    <w:p>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 xml:space="preserve">3.1本项目是否接受分支机构参与投标：□是   </w:t>
      </w:r>
      <w:r>
        <w:rPr>
          <w:rFonts w:hint="eastAsia"/>
          <w:sz w:val="18"/>
          <w:szCs w:val="18"/>
        </w:rPr>
        <w:t>■</w:t>
      </w:r>
      <w:r>
        <w:rPr>
          <w:sz w:val="24"/>
        </w:rPr>
        <w:t xml:space="preserve">否； </w:t>
      </w:r>
    </w:p>
    <w:p>
      <w:pPr>
        <w:tabs>
          <w:tab w:val="left" w:pos="900"/>
          <w:tab w:val="left" w:pos="1134"/>
          <w:tab w:val="left" w:pos="1589"/>
          <w:tab w:val="left" w:pos="5521"/>
        </w:tabs>
        <w:snapToGrid w:val="0"/>
        <w:spacing w:line="360" w:lineRule="auto"/>
        <w:ind w:firstLine="480" w:firstLineChars="200"/>
        <w:rPr>
          <w:sz w:val="24"/>
        </w:rPr>
      </w:pPr>
      <w:r>
        <w:rPr>
          <w:sz w:val="24"/>
        </w:rPr>
        <w:t>3.2本项目是否属于政府购买服务：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hint="eastAsia"/>
          <w:sz w:val="18"/>
          <w:szCs w:val="18"/>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 xml:space="preserve"> / </w:t>
      </w:r>
      <w:r>
        <w:rPr>
          <w:sz w:val="24"/>
          <w:u w:val="single"/>
        </w:rPr>
        <w:t>。</w:t>
      </w:r>
    </w:p>
    <w:p>
      <w:pPr>
        <w:tabs>
          <w:tab w:val="left" w:pos="900"/>
          <w:tab w:val="left" w:pos="1134"/>
          <w:tab w:val="left" w:pos="1589"/>
          <w:tab w:val="left" w:pos="5521"/>
        </w:tabs>
        <w:snapToGrid w:val="0"/>
        <w:spacing w:line="360" w:lineRule="auto"/>
        <w:ind w:firstLine="480" w:firstLineChars="200"/>
        <w:rPr>
          <w:sz w:val="24"/>
          <w:u w:val="single"/>
        </w:rPr>
      </w:pPr>
    </w:p>
    <w:bookmarkEnd w:id="12"/>
    <w:bookmarkEnd w:id="13"/>
    <w:p>
      <w:pPr>
        <w:pStyle w:val="4"/>
        <w:widowControl/>
        <w:spacing w:before="0" w:line="360" w:lineRule="auto"/>
        <w:jc w:val="left"/>
        <w:rPr>
          <w:rFonts w:ascii="Times New Roman" w:hAnsi="Times New Roman" w:eastAsia="宋体"/>
          <w:sz w:val="24"/>
          <w:szCs w:val="24"/>
        </w:rPr>
      </w:pPr>
      <w:bookmarkStart w:id="14" w:name="_Toc35393792"/>
      <w:bookmarkStart w:id="15" w:name="_Toc35393623"/>
      <w:r>
        <w:rPr>
          <w:rFonts w:ascii="Times New Roman" w:hAnsi="Times New Roman" w:eastAsia="宋体"/>
          <w:sz w:val="24"/>
          <w:szCs w:val="24"/>
        </w:rPr>
        <w:t>三、获取招标文件</w:t>
      </w:r>
      <w:bookmarkEnd w:id="14"/>
      <w:bookmarkEnd w:id="15"/>
    </w:p>
    <w:p>
      <w:pPr>
        <w:adjustRightInd w:val="0"/>
        <w:snapToGrid w:val="0"/>
        <w:spacing w:line="360" w:lineRule="auto"/>
        <w:ind w:firstLine="480" w:firstLineChars="200"/>
        <w:rPr>
          <w:rFonts w:ascii="宋体" w:hAnsi="宋体"/>
          <w:sz w:val="24"/>
          <w:highlight w:val="none"/>
          <w:lang w:bidi="ar"/>
        </w:rPr>
      </w:pPr>
      <w:r>
        <w:rPr>
          <w:rFonts w:ascii="宋体" w:hAnsi="宋体"/>
          <w:sz w:val="24"/>
          <w:lang w:bidi="ar"/>
        </w:rPr>
        <w:t>1.时间</w:t>
      </w:r>
      <w:r>
        <w:rPr>
          <w:rFonts w:ascii="宋体" w:hAnsi="宋体"/>
          <w:sz w:val="24"/>
          <w:highlight w:val="none"/>
          <w:lang w:bidi="ar"/>
        </w:rPr>
        <w:t>：</w:t>
      </w:r>
      <w:r>
        <w:rPr>
          <w:rFonts w:hint="eastAsia" w:ascii="宋体" w:hAnsi="宋体"/>
          <w:sz w:val="24"/>
          <w:highlight w:val="none"/>
          <w:lang w:bidi="ar"/>
        </w:rPr>
        <w:t>2024</w:t>
      </w:r>
      <w:r>
        <w:rPr>
          <w:rFonts w:ascii="宋体" w:hAnsi="宋体"/>
          <w:sz w:val="24"/>
          <w:highlight w:val="none"/>
          <w:lang w:bidi="ar"/>
        </w:rPr>
        <w:t>年</w:t>
      </w:r>
      <w:r>
        <w:rPr>
          <w:rFonts w:hint="eastAsia" w:ascii="宋体" w:hAnsi="宋体"/>
          <w:sz w:val="24"/>
          <w:highlight w:val="none"/>
          <w:lang w:val="en-US" w:eastAsia="zh-CN" w:bidi="ar"/>
        </w:rPr>
        <w:t>5</w:t>
      </w:r>
      <w:r>
        <w:rPr>
          <w:rFonts w:ascii="宋体" w:hAnsi="宋体"/>
          <w:sz w:val="24"/>
          <w:highlight w:val="none"/>
          <w:lang w:bidi="ar"/>
        </w:rPr>
        <w:t>月</w:t>
      </w:r>
      <w:r>
        <w:rPr>
          <w:rFonts w:hint="eastAsia" w:ascii="宋体" w:hAnsi="宋体"/>
          <w:sz w:val="24"/>
          <w:highlight w:val="none"/>
          <w:lang w:val="en-US" w:eastAsia="zh-CN" w:bidi="ar"/>
        </w:rPr>
        <w:t>16</w:t>
      </w:r>
      <w:r>
        <w:rPr>
          <w:rFonts w:ascii="宋体" w:hAnsi="宋体"/>
          <w:sz w:val="24"/>
          <w:highlight w:val="none"/>
          <w:lang w:bidi="ar"/>
        </w:rPr>
        <w:t>日至</w:t>
      </w:r>
      <w:r>
        <w:rPr>
          <w:rFonts w:hint="eastAsia" w:ascii="宋体" w:hAnsi="宋体"/>
          <w:sz w:val="24"/>
          <w:highlight w:val="none"/>
          <w:lang w:bidi="ar"/>
        </w:rPr>
        <w:t>2024</w:t>
      </w:r>
      <w:r>
        <w:rPr>
          <w:rFonts w:ascii="宋体" w:hAnsi="宋体"/>
          <w:sz w:val="24"/>
          <w:highlight w:val="none"/>
          <w:lang w:bidi="ar"/>
        </w:rPr>
        <w:t>年</w:t>
      </w:r>
      <w:r>
        <w:rPr>
          <w:rFonts w:hint="eastAsia" w:ascii="宋体" w:hAnsi="宋体"/>
          <w:sz w:val="24"/>
          <w:highlight w:val="none"/>
          <w:lang w:val="en-US" w:eastAsia="zh-CN" w:bidi="ar"/>
        </w:rPr>
        <w:t>5</w:t>
      </w:r>
      <w:r>
        <w:rPr>
          <w:rFonts w:ascii="宋体" w:hAnsi="宋体"/>
          <w:sz w:val="24"/>
          <w:highlight w:val="none"/>
          <w:lang w:bidi="ar"/>
        </w:rPr>
        <w:t>月</w:t>
      </w:r>
      <w:r>
        <w:rPr>
          <w:rFonts w:hint="eastAsia" w:ascii="宋体" w:hAnsi="宋体"/>
          <w:sz w:val="24"/>
          <w:highlight w:val="none"/>
          <w:lang w:val="en-US" w:eastAsia="zh-CN" w:bidi="ar"/>
        </w:rPr>
        <w:t>23</w:t>
      </w:r>
      <w:r>
        <w:rPr>
          <w:rFonts w:ascii="宋体" w:hAnsi="宋体"/>
          <w:sz w:val="24"/>
          <w:highlight w:val="none"/>
          <w:lang w:bidi="ar"/>
        </w:rPr>
        <w:t>日，每天上午</w:t>
      </w:r>
      <w:r>
        <w:rPr>
          <w:rFonts w:hint="eastAsia" w:ascii="宋体" w:hAnsi="宋体"/>
          <w:sz w:val="24"/>
          <w:highlight w:val="none"/>
          <w:lang w:bidi="ar"/>
        </w:rPr>
        <w:t>9时30分</w:t>
      </w:r>
      <w:r>
        <w:rPr>
          <w:rFonts w:ascii="宋体" w:hAnsi="宋体"/>
          <w:sz w:val="24"/>
          <w:highlight w:val="none"/>
          <w:lang w:bidi="ar"/>
        </w:rPr>
        <w:t>至</w:t>
      </w:r>
      <w:r>
        <w:rPr>
          <w:rFonts w:hint="eastAsia" w:ascii="宋体" w:hAnsi="宋体"/>
          <w:sz w:val="24"/>
          <w:highlight w:val="none"/>
          <w:lang w:bidi="ar"/>
        </w:rPr>
        <w:t>11时30分</w:t>
      </w:r>
      <w:r>
        <w:rPr>
          <w:rFonts w:ascii="宋体" w:hAnsi="宋体"/>
          <w:sz w:val="24"/>
          <w:highlight w:val="none"/>
          <w:lang w:bidi="ar"/>
        </w:rPr>
        <w:t>，下午</w:t>
      </w:r>
      <w:r>
        <w:rPr>
          <w:rFonts w:hint="eastAsia" w:ascii="宋体" w:hAnsi="宋体"/>
          <w:sz w:val="24"/>
          <w:highlight w:val="none"/>
          <w:lang w:bidi="ar"/>
        </w:rPr>
        <w:t>13时30分至16时30分</w:t>
      </w:r>
      <w:r>
        <w:rPr>
          <w:rFonts w:ascii="宋体" w:hAnsi="宋体"/>
          <w:sz w:val="24"/>
          <w:highlight w:val="none"/>
          <w:lang w:bidi="ar"/>
        </w:rPr>
        <w:t>（北京时间，法定节假日除外）。</w:t>
      </w:r>
    </w:p>
    <w:p>
      <w:pPr>
        <w:adjustRightInd w:val="0"/>
        <w:snapToGrid w:val="0"/>
        <w:spacing w:line="360" w:lineRule="auto"/>
        <w:ind w:firstLine="480" w:firstLineChars="200"/>
        <w:rPr>
          <w:rFonts w:ascii="宋体" w:hAnsi="宋体"/>
          <w:sz w:val="24"/>
        </w:rPr>
      </w:pPr>
      <w:r>
        <w:rPr>
          <w:rFonts w:ascii="宋体" w:hAnsi="宋体"/>
          <w:sz w:val="24"/>
          <w:highlight w:val="none"/>
          <w:lang w:bidi="ar"/>
        </w:rPr>
        <w:t>2.地点：</w:t>
      </w:r>
      <w:r>
        <w:rPr>
          <w:rFonts w:hint="eastAsia" w:ascii="宋体" w:hAnsi="宋体"/>
          <w:sz w:val="24"/>
          <w:highlight w:val="none"/>
        </w:rPr>
        <w:t>北京市西城区广安门外大街甲275号6层605室</w:t>
      </w:r>
      <w:r>
        <w:rPr>
          <w:rFonts w:ascii="宋体" w:hAnsi="宋体"/>
          <w:sz w:val="24"/>
        </w:rPr>
        <w:t>。</w:t>
      </w:r>
    </w:p>
    <w:p>
      <w:pPr>
        <w:adjustRightInd w:val="0"/>
        <w:snapToGrid w:val="0"/>
        <w:spacing w:line="360" w:lineRule="auto"/>
        <w:ind w:firstLine="480" w:firstLineChars="200"/>
        <w:rPr>
          <w:rFonts w:hint="eastAsia" w:ascii="宋体" w:hAnsi="宋体"/>
          <w:sz w:val="24"/>
          <w:lang w:bidi="ar"/>
        </w:rPr>
      </w:pPr>
      <w:r>
        <w:rPr>
          <w:rFonts w:hint="eastAsia" w:ascii="宋体" w:hAnsi="宋体"/>
          <w:sz w:val="24"/>
          <w:lang w:bidi="ar"/>
        </w:rPr>
        <w:t>3.报名方式：（不收取报名费）</w:t>
      </w:r>
    </w:p>
    <w:p>
      <w:pPr>
        <w:adjustRightInd w:val="0"/>
        <w:snapToGrid w:val="0"/>
        <w:spacing w:line="360" w:lineRule="auto"/>
        <w:ind w:firstLine="480" w:firstLineChars="200"/>
        <w:rPr>
          <w:rFonts w:hint="eastAsia" w:ascii="宋体" w:hAnsi="宋体"/>
          <w:sz w:val="24"/>
          <w:lang w:bidi="ar"/>
        </w:rPr>
      </w:pPr>
      <w:r>
        <w:rPr>
          <w:rFonts w:hint="eastAsia" w:ascii="宋体" w:hAnsi="宋体"/>
          <w:sz w:val="24"/>
          <w:lang w:bidi="ar"/>
        </w:rPr>
        <w:t>1）现场报名</w:t>
      </w:r>
    </w:p>
    <w:p>
      <w:pPr>
        <w:adjustRightInd w:val="0"/>
        <w:snapToGrid w:val="0"/>
        <w:spacing w:line="360" w:lineRule="auto"/>
        <w:ind w:firstLine="480" w:firstLineChars="200"/>
        <w:rPr>
          <w:rFonts w:hint="eastAsia" w:ascii="宋体" w:hAnsi="宋体"/>
          <w:sz w:val="24"/>
          <w:lang w:bidi="ar"/>
        </w:rPr>
      </w:pPr>
      <w:r>
        <w:rPr>
          <w:rFonts w:hint="eastAsia" w:ascii="宋体" w:hAnsi="宋体"/>
          <w:sz w:val="24"/>
          <w:lang w:bidi="ar"/>
        </w:rPr>
        <w:t>2）线上报名：</w:t>
      </w:r>
      <w:r>
        <w:rPr>
          <w:rFonts w:hint="eastAsia" w:ascii="宋体" w:hAnsi="宋体"/>
          <w:sz w:val="24"/>
          <w:lang w:bidi="ar"/>
        </w:rPr>
        <w:fldChar w:fldCharType="begin"/>
      </w:r>
      <w:r>
        <w:rPr>
          <w:rFonts w:hint="eastAsia" w:ascii="宋体" w:hAnsi="宋体"/>
          <w:sz w:val="24"/>
          <w:lang w:bidi="ar"/>
        </w:rPr>
        <w:instrText xml:space="preserve"> HYPERLINK "mailto:请将电汇底单及以下表格发邮件至jowena@163.com" </w:instrText>
      </w:r>
      <w:r>
        <w:rPr>
          <w:rFonts w:hint="eastAsia" w:ascii="宋体" w:hAnsi="宋体"/>
          <w:sz w:val="24"/>
          <w:lang w:bidi="ar"/>
        </w:rPr>
        <w:fldChar w:fldCharType="separate"/>
      </w:r>
      <w:r>
        <w:rPr>
          <w:rFonts w:hint="eastAsia" w:ascii="宋体" w:hAnsi="宋体"/>
          <w:sz w:val="24"/>
          <w:lang w:bidi="ar"/>
        </w:rPr>
        <w:t>请将以下表格发邮件至</w:t>
      </w:r>
      <w:r>
        <w:rPr>
          <w:rFonts w:hint="eastAsia" w:ascii="宋体" w:hAnsi="宋体"/>
          <w:sz w:val="24"/>
          <w:lang w:bidi="ar"/>
        </w:rPr>
        <w:fldChar w:fldCharType="end"/>
      </w:r>
      <w:r>
        <w:rPr>
          <w:rFonts w:hint="eastAsia" w:ascii="宋体" w:hAnsi="宋体"/>
          <w:sz w:val="24"/>
          <w:lang w:bidi="ar"/>
        </w:rPr>
        <w:t>zhaowen@biecc.com.cn，邮件主题请务必填写：项目编号+报名信息。发完邮件后请打招标公告中的电话确认，若需邮寄纸质版招标文件，须加付邮费100元人民币。</w:t>
      </w:r>
    </w:p>
    <w:tbl>
      <w:tblPr>
        <w:tblStyle w:val="42"/>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sz w:val="24"/>
              </w:rPr>
            </w:pPr>
            <w:r>
              <w:rPr>
                <w:rFonts w:ascii="宋体" w:hAnsi="宋体"/>
                <w:sz w:val="24"/>
              </w:rPr>
              <w:t>项目编号</w:t>
            </w:r>
          </w:p>
        </w:tc>
        <w:tc>
          <w:tcPr>
            <w:tcW w:w="5103" w:type="dxa"/>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sz w:val="24"/>
              </w:rPr>
            </w:pPr>
            <w:r>
              <w:rPr>
                <w:rFonts w:ascii="宋体" w:hAnsi="宋体"/>
                <w:sz w:val="24"/>
              </w:rPr>
              <w:t>包号（有就写）</w:t>
            </w:r>
          </w:p>
        </w:tc>
        <w:tc>
          <w:tcPr>
            <w:tcW w:w="5103" w:type="dxa"/>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sz w:val="24"/>
              </w:rPr>
            </w:pPr>
            <w:r>
              <w:rPr>
                <w:rFonts w:ascii="宋体" w:hAnsi="宋体"/>
                <w:sz w:val="24"/>
              </w:rPr>
              <w:t>公司名称</w:t>
            </w:r>
          </w:p>
        </w:tc>
        <w:tc>
          <w:tcPr>
            <w:tcW w:w="5103" w:type="dxa"/>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sz w:val="24"/>
              </w:rPr>
            </w:pPr>
            <w:r>
              <w:rPr>
                <w:rFonts w:ascii="宋体" w:hAnsi="宋体"/>
                <w:sz w:val="24"/>
              </w:rPr>
              <w:t>纳税人识别号</w:t>
            </w:r>
          </w:p>
        </w:tc>
        <w:tc>
          <w:tcPr>
            <w:tcW w:w="5103" w:type="dxa"/>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sz w:val="24"/>
              </w:rPr>
            </w:pPr>
            <w:r>
              <w:rPr>
                <w:rFonts w:ascii="宋体" w:hAnsi="宋体"/>
                <w:sz w:val="24"/>
              </w:rPr>
              <w:t>公司地址</w:t>
            </w:r>
          </w:p>
        </w:tc>
        <w:tc>
          <w:tcPr>
            <w:tcW w:w="5103" w:type="dxa"/>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sz w:val="24"/>
              </w:rPr>
            </w:pPr>
            <w:r>
              <w:rPr>
                <w:rFonts w:ascii="宋体" w:hAnsi="宋体"/>
                <w:sz w:val="24"/>
              </w:rPr>
              <w:t>联系人</w:t>
            </w:r>
          </w:p>
        </w:tc>
        <w:tc>
          <w:tcPr>
            <w:tcW w:w="5103" w:type="dxa"/>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sz w:val="24"/>
              </w:rPr>
            </w:pPr>
            <w:r>
              <w:rPr>
                <w:rFonts w:ascii="宋体" w:hAnsi="宋体"/>
                <w:sz w:val="24"/>
              </w:rPr>
              <w:t>联系电话</w:t>
            </w:r>
          </w:p>
        </w:tc>
        <w:tc>
          <w:tcPr>
            <w:tcW w:w="5103" w:type="dxa"/>
            <w:noWrap w:val="0"/>
            <w:vAlign w:val="center"/>
          </w:tcPr>
          <w:p>
            <w:pPr>
              <w:spacing w:line="360" w:lineRule="auto"/>
              <w:rPr>
                <w:rFonts w:ascii="宋体" w:hAnsi="宋体"/>
                <w:sz w:val="24"/>
              </w:rPr>
            </w:pPr>
          </w:p>
        </w:tc>
      </w:tr>
    </w:tbl>
    <w:p>
      <w:pPr>
        <w:spacing w:line="360" w:lineRule="auto"/>
        <w:ind w:firstLine="480" w:firstLineChars="200"/>
        <w:rPr>
          <w:rFonts w:ascii="宋体" w:hAnsi="宋体"/>
          <w:sz w:val="24"/>
          <w:highlight w:val="none"/>
        </w:rPr>
      </w:pPr>
      <w:r>
        <w:rPr>
          <w:rFonts w:ascii="宋体" w:hAnsi="宋体"/>
          <w:sz w:val="24"/>
        </w:rPr>
        <w:t>电子版</w:t>
      </w:r>
      <w:r>
        <w:rPr>
          <w:rFonts w:hint="eastAsia" w:ascii="宋体" w:hAnsi="宋体"/>
          <w:sz w:val="24"/>
        </w:rPr>
        <w:t>招标</w:t>
      </w:r>
      <w:r>
        <w:rPr>
          <w:rFonts w:ascii="宋体" w:hAnsi="宋体"/>
          <w:sz w:val="24"/>
        </w:rPr>
        <w:t>文件免费</w:t>
      </w:r>
      <w:r>
        <w:rPr>
          <w:rFonts w:ascii="宋体" w:hAnsi="宋体"/>
          <w:sz w:val="24"/>
          <w:highlight w:val="none"/>
        </w:rPr>
        <w:t>下载方式：登陆</w:t>
      </w:r>
      <w:r>
        <w:rPr>
          <w:highlight w:val="none"/>
        </w:rPr>
        <w:fldChar w:fldCharType="begin"/>
      </w:r>
      <w:r>
        <w:rPr>
          <w:highlight w:val="none"/>
        </w:rPr>
        <w:instrText xml:space="preserve"> HYPERLINK "http://www.biecc.com.cn" </w:instrText>
      </w:r>
      <w:r>
        <w:rPr>
          <w:highlight w:val="none"/>
        </w:rPr>
        <w:fldChar w:fldCharType="separate"/>
      </w:r>
      <w:r>
        <w:rPr>
          <w:rFonts w:ascii="宋体" w:hAnsi="宋体"/>
          <w:sz w:val="24"/>
          <w:highlight w:val="none"/>
        </w:rPr>
        <w:t>www.biecc.com.cn</w:t>
      </w:r>
      <w:r>
        <w:rPr>
          <w:rFonts w:ascii="宋体" w:hAnsi="宋体"/>
          <w:sz w:val="24"/>
          <w:highlight w:val="none"/>
        </w:rPr>
        <w:fldChar w:fldCharType="end"/>
      </w:r>
      <w:r>
        <w:rPr>
          <w:rFonts w:ascii="宋体" w:hAnsi="宋体"/>
          <w:sz w:val="24"/>
          <w:highlight w:val="none"/>
        </w:rPr>
        <w:t>，进入主页后点击</w:t>
      </w:r>
      <w:r>
        <w:rPr>
          <w:rFonts w:hint="eastAsia" w:ascii="宋体" w:hAnsi="宋体"/>
          <w:sz w:val="24"/>
          <w:highlight w:val="none"/>
        </w:rPr>
        <w:t>“公司动态——招标代理——</w:t>
      </w:r>
      <w:r>
        <w:rPr>
          <w:rFonts w:ascii="宋体" w:hAnsi="宋体"/>
          <w:sz w:val="24"/>
          <w:highlight w:val="none"/>
        </w:rPr>
        <w:t>标书下载</w:t>
      </w:r>
      <w:r>
        <w:rPr>
          <w:rFonts w:hint="eastAsia" w:ascii="宋体" w:hAnsi="宋体"/>
          <w:sz w:val="24"/>
          <w:highlight w:val="none"/>
        </w:rPr>
        <w:t>”</w:t>
      </w:r>
      <w:r>
        <w:rPr>
          <w:rFonts w:ascii="宋体" w:hAnsi="宋体"/>
          <w:sz w:val="24"/>
          <w:highlight w:val="none"/>
        </w:rPr>
        <w:t>（免费下载）。</w:t>
      </w:r>
    </w:p>
    <w:p>
      <w:pPr>
        <w:tabs>
          <w:tab w:val="left" w:pos="900"/>
          <w:tab w:val="left" w:pos="1980"/>
        </w:tabs>
        <w:snapToGrid w:val="0"/>
        <w:spacing w:line="360" w:lineRule="auto"/>
        <w:ind w:left="840"/>
        <w:rPr>
          <w:sz w:val="24"/>
          <w:highlight w:val="none"/>
        </w:rPr>
      </w:pPr>
    </w:p>
    <w:p>
      <w:pPr>
        <w:pStyle w:val="4"/>
        <w:widowControl/>
        <w:spacing w:before="0" w:line="360" w:lineRule="auto"/>
        <w:jc w:val="left"/>
        <w:rPr>
          <w:rFonts w:ascii="Times New Roman" w:hAnsi="Times New Roman" w:eastAsia="宋体"/>
          <w:sz w:val="24"/>
          <w:szCs w:val="24"/>
          <w:highlight w:val="none"/>
        </w:rPr>
      </w:pPr>
      <w:bookmarkStart w:id="16" w:name="_Toc28359082"/>
      <w:bookmarkStart w:id="17" w:name="_Toc28359005"/>
      <w:bookmarkStart w:id="18" w:name="_Toc35393624"/>
      <w:bookmarkStart w:id="19" w:name="_Toc35393793"/>
      <w:r>
        <w:rPr>
          <w:rFonts w:ascii="Times New Roman" w:hAnsi="Times New Roman" w:eastAsia="宋体"/>
          <w:sz w:val="24"/>
          <w:szCs w:val="24"/>
          <w:highlight w:val="none"/>
        </w:rPr>
        <w:t>四、提交投标文件</w:t>
      </w:r>
      <w:bookmarkEnd w:id="16"/>
      <w:bookmarkEnd w:id="17"/>
      <w:r>
        <w:rPr>
          <w:rFonts w:ascii="Times New Roman" w:hAnsi="Times New Roman" w:eastAsia="宋体"/>
          <w:sz w:val="24"/>
          <w:szCs w:val="24"/>
          <w:highlight w:val="none"/>
        </w:rPr>
        <w:t>截止时间、开标时间和地点</w:t>
      </w:r>
      <w:bookmarkEnd w:id="18"/>
      <w:bookmarkEnd w:id="19"/>
    </w:p>
    <w:p>
      <w:pPr>
        <w:spacing w:line="360" w:lineRule="auto"/>
        <w:ind w:firstLine="480" w:firstLineChars="200"/>
        <w:rPr>
          <w:rFonts w:hint="eastAsia"/>
          <w:sz w:val="24"/>
          <w:highlight w:val="none"/>
        </w:rPr>
      </w:pPr>
      <w:r>
        <w:rPr>
          <w:rFonts w:hint="eastAsia"/>
          <w:sz w:val="24"/>
          <w:highlight w:val="none"/>
        </w:rPr>
        <w:t>投标截止时间、开标时间：2024年</w:t>
      </w:r>
      <w:r>
        <w:rPr>
          <w:rFonts w:hint="eastAsia"/>
          <w:sz w:val="24"/>
          <w:highlight w:val="none"/>
          <w:lang w:val="en-US" w:eastAsia="zh-CN"/>
        </w:rPr>
        <w:t>6</w:t>
      </w:r>
      <w:r>
        <w:rPr>
          <w:rFonts w:hint="eastAsia"/>
          <w:sz w:val="24"/>
          <w:highlight w:val="none"/>
        </w:rPr>
        <w:t>月</w:t>
      </w:r>
      <w:r>
        <w:rPr>
          <w:rFonts w:hint="eastAsia"/>
          <w:sz w:val="24"/>
          <w:highlight w:val="none"/>
          <w:lang w:val="en-US" w:eastAsia="zh-CN"/>
        </w:rPr>
        <w:t>6</w:t>
      </w:r>
      <w:r>
        <w:rPr>
          <w:rFonts w:hint="eastAsia"/>
          <w:sz w:val="24"/>
          <w:highlight w:val="none"/>
        </w:rPr>
        <w:t>日上午9点30分（北京时间）。</w:t>
      </w:r>
    </w:p>
    <w:p>
      <w:pPr>
        <w:spacing w:line="360" w:lineRule="auto"/>
        <w:ind w:firstLine="480" w:firstLineChars="200"/>
        <w:rPr>
          <w:rFonts w:hint="eastAsia" w:eastAsia="宋体"/>
          <w:sz w:val="24"/>
          <w:highlight w:val="none"/>
          <w:lang w:eastAsia="zh-CN"/>
        </w:rPr>
      </w:pPr>
      <w:r>
        <w:rPr>
          <w:rFonts w:hint="eastAsia"/>
          <w:sz w:val="24"/>
          <w:highlight w:val="none"/>
        </w:rPr>
        <w:t>地点：北京市海淀区学院路30号科大天工大厦A座六层616室（北四环学院桥东北角）</w:t>
      </w:r>
      <w:r>
        <w:rPr>
          <w:rFonts w:hint="eastAsia"/>
          <w:sz w:val="24"/>
          <w:highlight w:val="none"/>
          <w:lang w:eastAsia="zh-CN"/>
        </w:rPr>
        <w:t>。</w:t>
      </w:r>
    </w:p>
    <w:p>
      <w:pPr>
        <w:spacing w:line="360" w:lineRule="auto"/>
        <w:ind w:firstLine="480" w:firstLineChars="200"/>
        <w:rPr>
          <w:bCs/>
          <w:sz w:val="24"/>
          <w:highlight w:val="none"/>
          <w:u w:val="single"/>
        </w:rPr>
      </w:pPr>
    </w:p>
    <w:p>
      <w:pPr>
        <w:pStyle w:val="4"/>
        <w:spacing w:before="0" w:line="360" w:lineRule="auto"/>
        <w:jc w:val="left"/>
        <w:rPr>
          <w:rFonts w:ascii="Times New Roman" w:hAnsi="Times New Roman" w:eastAsia="宋体"/>
          <w:sz w:val="24"/>
          <w:szCs w:val="24"/>
        </w:rPr>
      </w:pPr>
      <w:bookmarkStart w:id="20" w:name="_Toc35393625"/>
      <w:bookmarkStart w:id="21" w:name="_Toc28359084"/>
      <w:bookmarkStart w:id="22" w:name="_Toc28359007"/>
      <w:bookmarkStart w:id="23" w:name="_Toc35393794"/>
      <w:r>
        <w:rPr>
          <w:rFonts w:ascii="Times New Roman" w:hAnsi="Times New Roman" w:eastAsia="宋体"/>
          <w:sz w:val="24"/>
          <w:szCs w:val="24"/>
        </w:rPr>
        <w:t>五、公告期限</w:t>
      </w:r>
      <w:bookmarkEnd w:id="20"/>
      <w:bookmarkEnd w:id="21"/>
      <w:bookmarkEnd w:id="22"/>
      <w:bookmarkEnd w:id="23"/>
    </w:p>
    <w:p>
      <w:pPr>
        <w:spacing w:line="360" w:lineRule="auto"/>
        <w:ind w:firstLine="480" w:firstLineChars="200"/>
        <w:rPr>
          <w:kern w:val="0"/>
          <w:sz w:val="24"/>
        </w:rPr>
      </w:pPr>
      <w:r>
        <w:rPr>
          <w:kern w:val="0"/>
          <w:sz w:val="24"/>
        </w:rPr>
        <w:t>自本公告发布之日起5个工作日。</w:t>
      </w:r>
    </w:p>
    <w:p>
      <w:pPr>
        <w:spacing w:line="360" w:lineRule="auto"/>
        <w:ind w:firstLine="480" w:firstLineChars="200"/>
        <w:rPr>
          <w:kern w:val="0"/>
          <w:sz w:val="24"/>
        </w:rPr>
      </w:pPr>
    </w:p>
    <w:p>
      <w:pPr>
        <w:pStyle w:val="4"/>
        <w:spacing w:before="0" w:line="360" w:lineRule="auto"/>
        <w:jc w:val="left"/>
        <w:rPr>
          <w:rFonts w:ascii="Times New Roman" w:hAnsi="Times New Roman" w:eastAsia="宋体"/>
          <w:sz w:val="24"/>
          <w:szCs w:val="24"/>
        </w:rPr>
      </w:pPr>
      <w:bookmarkStart w:id="24" w:name="_Toc35393795"/>
      <w:bookmarkStart w:id="25" w:name="_Toc35393626"/>
      <w:r>
        <w:rPr>
          <w:rFonts w:ascii="Times New Roman" w:hAnsi="Times New Roman" w:eastAsia="宋体"/>
          <w:sz w:val="24"/>
          <w:szCs w:val="24"/>
        </w:rPr>
        <w:t>六、其他补充事宜</w:t>
      </w:r>
      <w:bookmarkEnd w:id="24"/>
      <w:bookmarkEnd w:id="25"/>
    </w:p>
    <w:p>
      <w:pPr>
        <w:spacing w:line="360" w:lineRule="auto"/>
        <w:ind w:firstLine="480" w:firstLineChars="200"/>
        <w:rPr>
          <w:sz w:val="24"/>
        </w:rPr>
      </w:pPr>
      <w:r>
        <w:rPr>
          <w:sz w:val="24"/>
        </w:rPr>
        <w:t>1.本项目需要落实的政府采购政策：</w:t>
      </w:r>
      <w:r>
        <w:rPr>
          <w:rFonts w:hint="eastAsia"/>
          <w:sz w:val="24"/>
          <w:u w:val="single"/>
        </w:rPr>
        <w:t>促进中小企业、监狱企业、残疾人福利性单位发展</w:t>
      </w:r>
      <w:r>
        <w:rPr>
          <w:sz w:val="24"/>
        </w:rPr>
        <w:t xml:space="preserve">。 </w:t>
      </w:r>
    </w:p>
    <w:p>
      <w:pPr>
        <w:spacing w:line="360" w:lineRule="auto"/>
        <w:ind w:firstLine="480" w:firstLineChars="200"/>
        <w:rPr>
          <w:rFonts w:hint="eastAsia"/>
          <w:sz w:val="24"/>
        </w:rPr>
      </w:pPr>
      <w:r>
        <w:rPr>
          <w:rFonts w:hint="eastAsia"/>
          <w:sz w:val="24"/>
        </w:rPr>
        <w:t>2</w:t>
      </w:r>
      <w:r>
        <w:rPr>
          <w:rFonts w:hint="eastAsia"/>
          <w:sz w:val="24"/>
          <w:lang w:eastAsia="zh-TW"/>
        </w:rPr>
        <w:t>.收款单位：北京国际工程咨询有限公司；</w:t>
      </w:r>
    </w:p>
    <w:p>
      <w:pPr>
        <w:spacing w:line="360" w:lineRule="auto"/>
        <w:ind w:firstLine="480" w:firstLineChars="200"/>
        <w:rPr>
          <w:rFonts w:hint="eastAsia"/>
          <w:sz w:val="24"/>
          <w:lang w:eastAsia="zh-TW"/>
        </w:rPr>
      </w:pPr>
      <w:r>
        <w:rPr>
          <w:rFonts w:hint="eastAsia"/>
          <w:sz w:val="24"/>
          <w:lang w:eastAsia="zh-TW"/>
        </w:rPr>
        <w:t xml:space="preserve">开户行：交通银行北京右安门支行； </w:t>
      </w:r>
    </w:p>
    <w:p>
      <w:pPr>
        <w:spacing w:line="360" w:lineRule="auto"/>
        <w:ind w:firstLine="480" w:firstLineChars="200"/>
        <w:rPr>
          <w:sz w:val="24"/>
          <w:lang w:eastAsia="zh-TW"/>
        </w:rPr>
      </w:pPr>
      <w:r>
        <w:rPr>
          <w:rFonts w:hint="eastAsia"/>
          <w:sz w:val="24"/>
          <w:lang w:eastAsia="zh-TW"/>
        </w:rPr>
        <w:t>账号：81100602610130021000001。</w:t>
      </w:r>
    </w:p>
    <w:p>
      <w:pPr>
        <w:spacing w:line="360" w:lineRule="auto"/>
        <w:ind w:firstLine="480" w:firstLineChars="200"/>
        <w:rPr>
          <w:sz w:val="24"/>
        </w:rPr>
      </w:pPr>
      <w:r>
        <w:rPr>
          <w:rFonts w:hint="eastAsia"/>
          <w:sz w:val="24"/>
        </w:rPr>
        <w:t>3.本项目的采购公告仅在中国政府采购网(www.ccgp.gov.cn)上发布。</w:t>
      </w:r>
    </w:p>
    <w:p>
      <w:pPr>
        <w:spacing w:line="360" w:lineRule="auto"/>
        <w:ind w:firstLine="480" w:firstLineChars="200"/>
        <w:rPr>
          <w:sz w:val="24"/>
        </w:rPr>
      </w:pPr>
      <w:r>
        <w:rPr>
          <w:rFonts w:hint="eastAsia"/>
          <w:sz w:val="24"/>
        </w:rPr>
        <w:t>4.本项目评标方法和标准：综合评分法，总分100分。</w:t>
      </w:r>
    </w:p>
    <w:p>
      <w:pPr>
        <w:spacing w:line="360" w:lineRule="auto"/>
        <w:ind w:firstLine="480" w:firstLineChars="200"/>
        <w:rPr>
          <w:sz w:val="24"/>
        </w:rPr>
      </w:pPr>
      <w:r>
        <w:rPr>
          <w:rFonts w:hint="eastAsia"/>
          <w:sz w:val="24"/>
        </w:rPr>
        <w:t>5.投标文件请于投标当日（投标截止时间之前）递交至投标地点，逾期递交的文件恕不接受。</w:t>
      </w:r>
    </w:p>
    <w:p>
      <w:pPr>
        <w:spacing w:line="360" w:lineRule="auto"/>
        <w:ind w:firstLine="480" w:firstLineChars="200"/>
        <w:rPr>
          <w:rFonts w:hint="eastAsia"/>
          <w:sz w:val="24"/>
        </w:rPr>
      </w:pPr>
      <w:r>
        <w:rPr>
          <w:rFonts w:hint="eastAsia"/>
          <w:sz w:val="24"/>
        </w:rPr>
        <w:t>6.届时请投标人派代表参加开标仪式。</w:t>
      </w:r>
    </w:p>
    <w:p>
      <w:pPr>
        <w:spacing w:line="360" w:lineRule="auto"/>
        <w:ind w:firstLine="480" w:firstLineChars="200"/>
        <w:rPr>
          <w:sz w:val="24"/>
        </w:rPr>
      </w:pPr>
      <w:r>
        <w:rPr>
          <w:rFonts w:hint="eastAsia"/>
          <w:sz w:val="24"/>
        </w:rPr>
        <w:t>7</w:t>
      </w:r>
      <w:r>
        <w:rPr>
          <w:rFonts w:hint="eastAsia"/>
          <w:sz w:val="24"/>
          <w:lang w:eastAsia="zh-CN"/>
        </w:rPr>
        <w:t>.</w:t>
      </w:r>
      <w:r>
        <w:rPr>
          <w:rFonts w:hint="eastAsia"/>
          <w:sz w:val="24"/>
        </w:rPr>
        <w:t>如本公告内容和招标文件内容不一致，以招标文件为准。</w:t>
      </w:r>
    </w:p>
    <w:p>
      <w:pPr>
        <w:spacing w:line="360" w:lineRule="auto"/>
        <w:ind w:firstLine="480" w:firstLineChars="200"/>
        <w:rPr>
          <w:sz w:val="24"/>
        </w:rPr>
      </w:pPr>
    </w:p>
    <w:p>
      <w:pPr>
        <w:pStyle w:val="4"/>
        <w:spacing w:before="0" w:line="360" w:lineRule="auto"/>
        <w:jc w:val="left"/>
        <w:rPr>
          <w:rFonts w:ascii="Times New Roman" w:hAnsi="Times New Roman" w:eastAsia="宋体"/>
          <w:sz w:val="24"/>
          <w:szCs w:val="24"/>
        </w:rPr>
      </w:pPr>
      <w:bookmarkStart w:id="26" w:name="_Toc35393627"/>
      <w:bookmarkStart w:id="27" w:name="_Toc28359008"/>
      <w:bookmarkStart w:id="28" w:name="_Toc28359085"/>
      <w:bookmarkStart w:id="29" w:name="_Toc35393796"/>
      <w:r>
        <w:rPr>
          <w:rFonts w:ascii="Times New Roman" w:hAnsi="Times New Roman" w:eastAsia="宋体"/>
          <w:sz w:val="24"/>
          <w:szCs w:val="24"/>
        </w:rPr>
        <w:t>七、对本次招标提出询问，请按以下方式联系。</w:t>
      </w:r>
      <w:bookmarkEnd w:id="26"/>
      <w:bookmarkEnd w:id="27"/>
      <w:bookmarkEnd w:id="28"/>
      <w:bookmarkEnd w:id="29"/>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sz w:val="24"/>
        </w:rPr>
      </w:pPr>
      <w:bookmarkStart w:id="30" w:name="_Toc28359009"/>
      <w:bookmarkStart w:id="31" w:name="_Toc28359086"/>
      <w:r>
        <w:rPr>
          <w:sz w:val="24"/>
        </w:rPr>
        <w:t>名    称：北京雁栖湖应用数学研究院</w:t>
      </w:r>
    </w:p>
    <w:p>
      <w:pPr>
        <w:spacing w:line="360" w:lineRule="auto"/>
        <w:ind w:left="1079" w:leftChars="371" w:hanging="300" w:hangingChars="125"/>
        <w:jc w:val="left"/>
        <w:rPr>
          <w:rFonts w:hint="eastAsia"/>
          <w:sz w:val="24"/>
          <w:highlight w:val="none"/>
        </w:rPr>
      </w:pPr>
      <w:r>
        <w:rPr>
          <w:sz w:val="24"/>
          <w:highlight w:val="none"/>
        </w:rPr>
        <w:t>地    址：</w:t>
      </w:r>
      <w:r>
        <w:rPr>
          <w:rFonts w:hint="eastAsia"/>
          <w:sz w:val="24"/>
          <w:highlight w:val="none"/>
        </w:rPr>
        <w:t>北京市怀柔区怀北镇河防口544号（北京雁栖湖应用数学研究院A1栋）</w:t>
      </w:r>
    </w:p>
    <w:p>
      <w:pPr>
        <w:spacing w:line="360" w:lineRule="auto"/>
        <w:ind w:left="1079" w:leftChars="371" w:hanging="300" w:hangingChars="125"/>
        <w:jc w:val="left"/>
        <w:rPr>
          <w:rFonts w:ascii="宋体" w:hAnsi="宋体"/>
          <w:sz w:val="24"/>
          <w:highlight w:val="none"/>
        </w:rPr>
      </w:pPr>
      <w:r>
        <w:rPr>
          <w:rFonts w:ascii="宋体" w:hAnsi="宋体"/>
          <w:sz w:val="24"/>
          <w:highlight w:val="none"/>
        </w:rPr>
        <w:t>联系方式：</w:t>
      </w:r>
      <w:r>
        <w:rPr>
          <w:rFonts w:hint="eastAsia" w:ascii="宋体" w:hAnsi="宋体"/>
          <w:sz w:val="24"/>
          <w:highlight w:val="none"/>
          <w:lang w:val="en-US" w:eastAsia="zh-CN"/>
        </w:rPr>
        <w:t>时</w:t>
      </w:r>
      <w:r>
        <w:rPr>
          <w:rFonts w:hint="eastAsia" w:ascii="宋体" w:hAnsi="宋体"/>
          <w:sz w:val="24"/>
          <w:highlight w:val="none"/>
        </w:rPr>
        <w:t>老师</w:t>
      </w:r>
      <w:r>
        <w:rPr>
          <w:rFonts w:ascii="宋体" w:hAnsi="宋体"/>
          <w:sz w:val="24"/>
          <w:highlight w:val="none"/>
        </w:rPr>
        <w:t>，</w:t>
      </w:r>
      <w:r>
        <w:rPr>
          <w:rFonts w:hint="eastAsia" w:ascii="宋体" w:hAnsi="宋体"/>
          <w:sz w:val="24"/>
          <w:highlight w:val="none"/>
        </w:rPr>
        <w:t>010-61667935</w:t>
      </w:r>
    </w:p>
    <w:p>
      <w:pPr>
        <w:spacing w:line="360" w:lineRule="auto"/>
        <w:ind w:left="1080" w:leftChars="371" w:hanging="301" w:hangingChars="125"/>
        <w:jc w:val="left"/>
        <w:rPr>
          <w:b/>
          <w:sz w:val="24"/>
        </w:rPr>
      </w:pPr>
      <w:r>
        <w:rPr>
          <w:b/>
          <w:sz w:val="24"/>
        </w:rPr>
        <w:t>2.采购代理机构信息</w:t>
      </w:r>
      <w:bookmarkEnd w:id="30"/>
      <w:bookmarkEnd w:id="31"/>
    </w:p>
    <w:p>
      <w:pPr>
        <w:spacing w:line="360" w:lineRule="auto"/>
        <w:ind w:left="1079" w:leftChars="371" w:hanging="300" w:hangingChars="125"/>
        <w:jc w:val="left"/>
        <w:rPr>
          <w:rFonts w:ascii="宋体" w:hAnsi="宋体"/>
          <w:sz w:val="24"/>
        </w:rPr>
      </w:pPr>
      <w:bookmarkStart w:id="32" w:name="_Toc28359087"/>
      <w:bookmarkStart w:id="33" w:name="_Toc28359010"/>
      <w:r>
        <w:rPr>
          <w:rFonts w:ascii="宋体" w:hAnsi="宋体"/>
          <w:sz w:val="24"/>
        </w:rPr>
        <w:t>名    称：</w:t>
      </w:r>
      <w:r>
        <w:rPr>
          <w:rFonts w:hint="eastAsia" w:ascii="宋体" w:hAnsi="宋体"/>
          <w:sz w:val="24"/>
        </w:rPr>
        <w:t>北京国际工程咨询有限公司</w:t>
      </w:r>
    </w:p>
    <w:p>
      <w:pPr>
        <w:spacing w:line="360" w:lineRule="auto"/>
        <w:ind w:left="1079" w:leftChars="371" w:hanging="300" w:hangingChars="125"/>
        <w:jc w:val="left"/>
        <w:rPr>
          <w:rFonts w:ascii="宋体" w:hAnsi="宋体"/>
          <w:sz w:val="24"/>
        </w:rPr>
      </w:pPr>
      <w:r>
        <w:rPr>
          <w:rFonts w:ascii="宋体" w:hAnsi="宋体"/>
          <w:sz w:val="24"/>
        </w:rPr>
        <w:t>地    址：</w:t>
      </w:r>
      <w:r>
        <w:rPr>
          <w:rFonts w:hint="eastAsia" w:ascii="宋体" w:hAnsi="宋体"/>
          <w:sz w:val="24"/>
        </w:rPr>
        <w:t>北京市西城区广安门外大街甲275号</w:t>
      </w:r>
    </w:p>
    <w:p>
      <w:pPr>
        <w:spacing w:line="360" w:lineRule="auto"/>
        <w:ind w:left="1079" w:leftChars="371" w:hanging="300" w:hangingChars="125"/>
        <w:jc w:val="left"/>
        <w:rPr>
          <w:rFonts w:ascii="宋体" w:hAnsi="宋体"/>
          <w:sz w:val="24"/>
        </w:rPr>
      </w:pPr>
      <w:r>
        <w:rPr>
          <w:rFonts w:ascii="宋体" w:hAnsi="宋体"/>
          <w:sz w:val="24"/>
        </w:rPr>
        <w:t>联系方式：</w:t>
      </w:r>
      <w:r>
        <w:rPr>
          <w:rFonts w:hint="eastAsia"/>
          <w:sz w:val="24"/>
        </w:rPr>
        <w:t xml:space="preserve">崔云龙、赵雯 </w:t>
      </w:r>
      <w:r>
        <w:rPr>
          <w:rFonts w:hint="eastAsia" w:ascii="宋体" w:hAnsi="宋体"/>
          <w:sz w:val="24"/>
        </w:rPr>
        <w:t>010-63256361转</w:t>
      </w:r>
      <w:r>
        <w:rPr>
          <w:rFonts w:ascii="宋体" w:hAnsi="宋体"/>
          <w:sz w:val="24"/>
        </w:rPr>
        <w:t>6290</w:t>
      </w:r>
    </w:p>
    <w:p>
      <w:pPr>
        <w:spacing w:line="360" w:lineRule="auto"/>
        <w:ind w:firstLine="723" w:firstLineChars="300"/>
        <w:rPr>
          <w:b/>
          <w:sz w:val="24"/>
          <w:u w:val="single"/>
        </w:rPr>
      </w:pPr>
      <w:r>
        <w:rPr>
          <w:b/>
          <w:sz w:val="24"/>
        </w:rPr>
        <w:t>3.项目联系方式</w:t>
      </w:r>
      <w:bookmarkEnd w:id="32"/>
      <w:bookmarkEnd w:id="33"/>
    </w:p>
    <w:p>
      <w:pPr>
        <w:spacing w:line="360" w:lineRule="auto"/>
        <w:ind w:right="960" w:firstLine="720" w:firstLineChars="300"/>
        <w:rPr>
          <w:sz w:val="24"/>
        </w:rPr>
      </w:pPr>
      <w:r>
        <w:rPr>
          <w:rFonts w:hint="eastAsia"/>
          <w:sz w:val="24"/>
        </w:rPr>
        <w:t>项目联系人：崔云龙、赵雯</w:t>
      </w:r>
    </w:p>
    <w:p>
      <w:pPr>
        <w:spacing w:line="360" w:lineRule="auto"/>
        <w:ind w:right="960" w:firstLine="720" w:firstLineChars="300"/>
        <w:rPr>
          <w:rFonts w:ascii="宋体" w:hAnsi="宋体"/>
          <w:sz w:val="24"/>
        </w:rPr>
      </w:pPr>
      <w:r>
        <w:rPr>
          <w:rFonts w:hint="eastAsia" w:ascii="宋体" w:hAnsi="宋体"/>
          <w:sz w:val="24"/>
        </w:rPr>
        <w:t>电话：010-63256361转</w:t>
      </w:r>
      <w:r>
        <w:rPr>
          <w:rFonts w:ascii="宋体" w:hAnsi="宋体"/>
          <w:sz w:val="24"/>
        </w:rPr>
        <w:t>6290</w:t>
      </w:r>
    </w:p>
    <w:p>
      <w:pPr>
        <w:spacing w:line="360" w:lineRule="auto"/>
        <w:ind w:right="960" w:firstLine="720" w:firstLineChars="300"/>
        <w:rPr>
          <w:rFonts w:ascii="宋体" w:hAnsi="宋体"/>
          <w:sz w:val="24"/>
        </w:rPr>
      </w:pPr>
      <w:r>
        <w:rPr>
          <w:rFonts w:hint="eastAsia" w:ascii="宋体" w:hAnsi="宋体"/>
          <w:sz w:val="24"/>
        </w:rPr>
        <w:t>电子邮件：</w:t>
      </w:r>
      <w:r>
        <w:rPr>
          <w:rFonts w:ascii="宋体" w:hAnsi="宋体"/>
          <w:sz w:val="24"/>
        </w:rPr>
        <w:t>zhaowen@biecc.com.cn</w:t>
      </w:r>
    </w:p>
    <w:p>
      <w:pPr>
        <w:spacing w:line="360" w:lineRule="auto"/>
        <w:jc w:val="center"/>
        <w:outlineLvl w:val="0"/>
        <w:rPr>
          <w:b/>
          <w:sz w:val="32"/>
          <w:szCs w:val="32"/>
        </w:rPr>
      </w:pPr>
      <w:r>
        <w:rPr>
          <w:sz w:val="24"/>
        </w:rPr>
        <w:br w:type="page"/>
      </w:r>
      <w:bookmarkStart w:id="34" w:name="_Toc264969275"/>
      <w:bookmarkStart w:id="35" w:name="_Toc265228423"/>
      <w:bookmarkStart w:id="36" w:name="_Toc305158854"/>
      <w:bookmarkStart w:id="37" w:name="_Toc195842950"/>
      <w:bookmarkStart w:id="38" w:name="_Toc226965856"/>
      <w:bookmarkStart w:id="39" w:name="_Toc150774783"/>
      <w:bookmarkStart w:id="40" w:name="_Toc127151777"/>
      <w:bookmarkStart w:id="41" w:name="_Toc512937850"/>
      <w:bookmarkStart w:id="42" w:name="_Toc353873938"/>
      <w:bookmarkStart w:id="43" w:name="_Toc305158928"/>
      <w:bookmarkStart w:id="44" w:name="_Toc353825548"/>
      <w:bookmarkStart w:id="45" w:name="_Toc127161488"/>
      <w:bookmarkStart w:id="46" w:name="_Toc11071"/>
      <w:r>
        <w:rPr>
          <w:b/>
          <w:sz w:val="36"/>
          <w:szCs w:val="36"/>
        </w:rPr>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pPr>
        <w:pStyle w:val="4"/>
        <w:tabs>
          <w:tab w:val="center" w:pos="4592"/>
          <w:tab w:val="left" w:pos="7860"/>
        </w:tabs>
        <w:spacing w:before="0" w:line="360" w:lineRule="auto"/>
        <w:rPr>
          <w:rFonts w:ascii="Times New Roman" w:hAnsi="Times New Roman" w:eastAsia="宋体"/>
          <w:sz w:val="28"/>
        </w:rPr>
      </w:pPr>
      <w:bookmarkStart w:id="47" w:name="_Toc164608633"/>
      <w:bookmarkStart w:id="48" w:name="_Toc226965792"/>
      <w:bookmarkStart w:id="49" w:name="_Toc150480757"/>
      <w:bookmarkStart w:id="50" w:name="_Toc151193761"/>
      <w:bookmarkStart w:id="51" w:name="_Toc226337215"/>
      <w:bookmarkStart w:id="52" w:name="_Toc150774619"/>
      <w:bookmarkStart w:id="53" w:name="_Toc226309763"/>
      <w:bookmarkStart w:id="54" w:name="_Toc164229214"/>
      <w:bookmarkStart w:id="55" w:name="_Toc151193833"/>
      <w:bookmarkStart w:id="56" w:name="_Toc151193907"/>
      <w:bookmarkStart w:id="57" w:name="_Toc150774724"/>
      <w:bookmarkStart w:id="58" w:name="_Toc127151519"/>
      <w:bookmarkStart w:id="59" w:name="_Toc164229360"/>
      <w:bookmarkStart w:id="60" w:name="_Toc195842884"/>
      <w:bookmarkStart w:id="61" w:name="_Toc142311021"/>
      <w:bookmarkStart w:id="62" w:name="_Toc151193689"/>
      <w:bookmarkStart w:id="63" w:name="_Toc151193617"/>
      <w:bookmarkStart w:id="64" w:name="_Toc226965709"/>
      <w:bookmarkStart w:id="65" w:name="_Toc164351613"/>
      <w:bookmarkStart w:id="66" w:name="_Toc150509270"/>
      <w:bookmarkStart w:id="67" w:name="_Toc149720812"/>
      <w:bookmarkStart w:id="68" w:name="_Toc127161433"/>
      <w:bookmarkStart w:id="69" w:name="_Toc151190146"/>
      <w:bookmarkStart w:id="70" w:name="_Toc127151720"/>
      <w:bookmarkStart w:id="71" w:name="_Toc520356144"/>
      <w:bookmarkStart w:id="72" w:name="_Toc164608788"/>
      <w:r>
        <w:rPr>
          <w:rFonts w:ascii="Times New Roman" w:hAnsi="Times New Roman" w:eastAsia="宋体"/>
          <w:sz w:val="28"/>
        </w:rPr>
        <w:t>投标人须知资料表</w:t>
      </w:r>
    </w:p>
    <w:p>
      <w:pPr>
        <w:jc w:val="center"/>
        <w:rPr>
          <w:b/>
          <w:sz w:val="28"/>
          <w:szCs w:val="28"/>
        </w:rPr>
      </w:pPr>
    </w:p>
    <w:p>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的选项意为适用于本项目，标记“□”的选项意为不适用于本项目。</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7540"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jc w:val="center"/>
              <w:rPr>
                <w:sz w:val="24"/>
              </w:rPr>
            </w:pPr>
            <w:r>
              <w:rPr>
                <w:sz w:val="24"/>
              </w:rPr>
              <w:t>项目属性</w:t>
            </w:r>
          </w:p>
        </w:tc>
        <w:tc>
          <w:tcPr>
            <w:tcW w:w="7540" w:type="dxa"/>
            <w:vAlign w:val="center"/>
          </w:tcPr>
          <w:p>
            <w:pPr>
              <w:jc w:val="left"/>
              <w:rPr>
                <w:sz w:val="24"/>
              </w:rPr>
            </w:pPr>
            <w:r>
              <w:rPr>
                <w:sz w:val="24"/>
              </w:rPr>
              <w:t>项目属性：</w:t>
            </w:r>
          </w:p>
          <w:p>
            <w:pPr>
              <w:jc w:val="left"/>
              <w:rPr>
                <w:sz w:val="24"/>
              </w:rPr>
            </w:pPr>
            <w:r>
              <w:rPr>
                <w:sz w:val="24"/>
              </w:rPr>
              <w:t>□服务</w:t>
            </w:r>
          </w:p>
          <w:p>
            <w:pPr>
              <w:jc w:val="left"/>
              <w:rPr>
                <w:sz w:val="24"/>
                <w:u w:val="single"/>
              </w:rPr>
            </w:pPr>
            <w:r>
              <w:rPr>
                <w:b/>
                <w:color w:val="000000"/>
                <w:sz w:val="24"/>
              </w:rPr>
              <w:t>■</w:t>
            </w:r>
            <w:r>
              <w:rPr>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jc w:val="center"/>
              <w:rPr>
                <w:sz w:val="24"/>
              </w:rPr>
            </w:pPr>
            <w:r>
              <w:rPr>
                <w:sz w:val="24"/>
              </w:rPr>
              <w:t>科研仪器设备</w:t>
            </w:r>
          </w:p>
        </w:tc>
        <w:tc>
          <w:tcPr>
            <w:tcW w:w="7540" w:type="dxa"/>
            <w:vAlign w:val="center"/>
          </w:tcPr>
          <w:p>
            <w:pPr>
              <w:jc w:val="left"/>
              <w:rPr>
                <w:sz w:val="24"/>
              </w:rPr>
            </w:pPr>
            <w:r>
              <w:rPr>
                <w:sz w:val="24"/>
              </w:rPr>
              <w:t>是否属于科研仪器设备采购项目：</w:t>
            </w:r>
          </w:p>
          <w:p>
            <w:pPr>
              <w:jc w:val="left"/>
              <w:rPr>
                <w:sz w:val="24"/>
              </w:rPr>
            </w:pPr>
            <w:r>
              <w:rPr>
                <w:sz w:val="24"/>
              </w:rPr>
              <w:t>□是</w:t>
            </w:r>
          </w:p>
          <w:p>
            <w:pPr>
              <w:jc w:val="left"/>
              <w:rPr>
                <w:sz w:val="24"/>
              </w:rPr>
            </w:pPr>
            <w:r>
              <w:rPr>
                <w:b/>
                <w:color w:val="000000"/>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pPr>
              <w:jc w:val="center"/>
              <w:rPr>
                <w:sz w:val="24"/>
                <w:highlight w:val="none"/>
              </w:rPr>
            </w:pPr>
            <w:r>
              <w:rPr>
                <w:sz w:val="24"/>
                <w:highlight w:val="none"/>
              </w:rPr>
              <w:t>核心产品</w:t>
            </w:r>
          </w:p>
        </w:tc>
        <w:tc>
          <w:tcPr>
            <w:tcW w:w="7540" w:type="dxa"/>
            <w:vAlign w:val="center"/>
          </w:tcPr>
          <w:p>
            <w:pPr>
              <w:pStyle w:val="24"/>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□关于核心产品本项目</w:t>
            </w:r>
            <w:r>
              <w:rPr>
                <w:rFonts w:ascii="Times New Roman" w:hAnsi="Times New Roman"/>
                <w:sz w:val="24"/>
                <w:szCs w:val="24"/>
                <w:highlight w:val="none"/>
                <w:u w:val="single"/>
              </w:rPr>
              <w:t xml:space="preserve">    </w:t>
            </w:r>
            <w:r>
              <w:rPr>
                <w:rFonts w:hint="default" w:ascii="Times New Roman" w:hAnsi="Times New Roman"/>
                <w:sz w:val="24"/>
                <w:szCs w:val="24"/>
                <w:highlight w:val="none"/>
              </w:rPr>
              <w:t>包不适用。</w:t>
            </w:r>
          </w:p>
          <w:p>
            <w:pPr>
              <w:pStyle w:val="24"/>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□本项目__包为单一产品采购项目。</w:t>
            </w:r>
          </w:p>
          <w:p>
            <w:pPr>
              <w:jc w:val="left"/>
              <w:rPr>
                <w:sz w:val="24"/>
                <w:highlight w:val="none"/>
              </w:rPr>
            </w:pPr>
            <w:r>
              <w:rPr>
                <w:b/>
                <w:color w:val="000000"/>
                <w:sz w:val="22"/>
                <w:szCs w:val="18"/>
                <w:highlight w:val="none"/>
              </w:rPr>
              <w:t>■</w:t>
            </w:r>
            <w:r>
              <w:rPr>
                <w:sz w:val="24"/>
                <w:highlight w:val="none"/>
              </w:rPr>
              <w:t>本项目</w:t>
            </w:r>
            <w:r>
              <w:rPr>
                <w:sz w:val="24"/>
                <w:highlight w:val="none"/>
                <w:u w:val="single"/>
              </w:rPr>
              <w:t>01</w:t>
            </w:r>
            <w:r>
              <w:rPr>
                <w:sz w:val="24"/>
                <w:highlight w:val="none"/>
              </w:rPr>
              <w:t>包为非单一产品采购项目，核心产品为：</w:t>
            </w:r>
            <w:r>
              <w:rPr>
                <w:rFonts w:hint="eastAsia" w:cs="宋体" w:asciiTheme="minorEastAsia" w:hAnsiTheme="minorEastAsia" w:eastAsiaTheme="minorEastAsia"/>
                <w:color w:val="000000"/>
                <w:kern w:val="0"/>
                <w:sz w:val="24"/>
                <w:highlight w:val="none"/>
                <w:u w:val="single"/>
                <w:lang w:val="en-US" w:eastAsia="zh-CN"/>
              </w:rPr>
              <w:t>显示设备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jc w:val="center"/>
              <w:rPr>
                <w:sz w:val="24"/>
              </w:rPr>
            </w:pPr>
            <w:r>
              <w:rPr>
                <w:sz w:val="24"/>
              </w:rPr>
              <w:t>现场考察</w:t>
            </w:r>
          </w:p>
        </w:tc>
        <w:tc>
          <w:tcPr>
            <w:tcW w:w="7540" w:type="dxa"/>
            <w:vAlign w:val="center"/>
          </w:tcPr>
          <w:p>
            <w:pPr>
              <w:jc w:val="left"/>
              <w:rPr>
                <w:sz w:val="24"/>
              </w:rPr>
            </w:pPr>
            <w:r>
              <w:rPr>
                <w:b/>
                <w:color w:val="000000"/>
                <w:sz w:val="24"/>
              </w:rPr>
              <w:t>■</w:t>
            </w:r>
            <w:r>
              <w:rPr>
                <w:sz w:val="24"/>
              </w:rPr>
              <w:t>不组织</w:t>
            </w:r>
          </w:p>
          <w:p>
            <w:pPr>
              <w:jc w:val="left"/>
              <w:rPr>
                <w:bCs/>
                <w:sz w:val="24"/>
              </w:rPr>
            </w:pPr>
            <w:r>
              <w:rPr>
                <w:sz w:val="24"/>
              </w:rPr>
              <w:t>□组织，考察时间：__年_月_日_</w:t>
            </w:r>
            <w:r>
              <w:rPr>
                <w:bCs/>
                <w:sz w:val="24"/>
              </w:rPr>
              <w:t>点</w:t>
            </w:r>
            <w:r>
              <w:rPr>
                <w:sz w:val="24"/>
              </w:rPr>
              <w:t>_</w:t>
            </w:r>
            <w:r>
              <w:rPr>
                <w:bCs/>
                <w:sz w:val="24"/>
              </w:rPr>
              <w:t>分</w:t>
            </w:r>
          </w:p>
          <w:p>
            <w:pPr>
              <w:pStyle w:val="24"/>
              <w:adjustRightInd w:val="0"/>
              <w:snapToGrid w:val="0"/>
              <w:rPr>
                <w:rFonts w:hint="default" w:ascii="Times New Roman" w:hAnsi="Times New Roman"/>
                <w:sz w:val="24"/>
                <w:szCs w:val="24"/>
              </w:rPr>
            </w:pPr>
            <w:r>
              <w:rPr>
                <w:rFonts w:hint="default" w:ascii="Times New Roman" w:hAnsi="Times New Roman"/>
                <w:sz w:val="24"/>
              </w:rPr>
              <w:t>考察地点：____________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4"/>
              <w:adjustRightInd w:val="0"/>
              <w:snapToGrid w:val="0"/>
              <w:jc w:val="center"/>
              <w:rPr>
                <w:rFonts w:hint="default" w:ascii="Times New Roman" w:hAnsi="Times New Roman"/>
                <w:sz w:val="24"/>
                <w:szCs w:val="24"/>
              </w:rPr>
            </w:pPr>
          </w:p>
        </w:tc>
        <w:tc>
          <w:tcPr>
            <w:tcW w:w="1701" w:type="dxa"/>
            <w:vAlign w:val="center"/>
          </w:tcPr>
          <w:p>
            <w:pPr>
              <w:jc w:val="center"/>
              <w:rPr>
                <w:sz w:val="24"/>
              </w:rPr>
            </w:pPr>
            <w:r>
              <w:rPr>
                <w:sz w:val="24"/>
              </w:rPr>
              <w:t>开标前答疑会</w:t>
            </w:r>
          </w:p>
        </w:tc>
        <w:tc>
          <w:tcPr>
            <w:tcW w:w="7540" w:type="dxa"/>
            <w:vAlign w:val="center"/>
          </w:tcPr>
          <w:p>
            <w:pPr>
              <w:jc w:val="left"/>
              <w:rPr>
                <w:sz w:val="24"/>
              </w:rPr>
            </w:pPr>
            <w:r>
              <w:rPr>
                <w:b/>
                <w:color w:val="000000"/>
                <w:sz w:val="24"/>
              </w:rPr>
              <w:t>■</w:t>
            </w:r>
            <w:r>
              <w:rPr>
                <w:sz w:val="24"/>
              </w:rPr>
              <w:t>不召开</w:t>
            </w:r>
          </w:p>
          <w:p>
            <w:pPr>
              <w:jc w:val="left"/>
              <w:rPr>
                <w:sz w:val="24"/>
              </w:rPr>
            </w:pPr>
            <w:r>
              <w:rPr>
                <w:sz w:val="24"/>
              </w:rPr>
              <w:t>□召开，召开时间：__年_月_日_</w:t>
            </w:r>
            <w:r>
              <w:rPr>
                <w:bCs/>
                <w:sz w:val="24"/>
              </w:rPr>
              <w:t>点</w:t>
            </w:r>
            <w:r>
              <w:rPr>
                <w:sz w:val="24"/>
              </w:rPr>
              <w:t>_</w:t>
            </w:r>
            <w:r>
              <w:rPr>
                <w:bCs/>
                <w:sz w:val="24"/>
              </w:rPr>
              <w:t>分</w:t>
            </w:r>
          </w:p>
          <w:p>
            <w:pPr>
              <w:jc w:val="left"/>
              <w:rPr>
                <w:sz w:val="24"/>
              </w:rPr>
            </w:pPr>
            <w:r>
              <w:rPr>
                <w:sz w:val="24"/>
              </w:rPr>
              <w:t>召开地点：____________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pPr>
              <w:jc w:val="center"/>
              <w:rPr>
                <w:sz w:val="24"/>
              </w:rPr>
            </w:pPr>
            <w:r>
              <w:rPr>
                <w:sz w:val="24"/>
              </w:rPr>
              <w:t>样品</w:t>
            </w:r>
          </w:p>
        </w:tc>
        <w:tc>
          <w:tcPr>
            <w:tcW w:w="7540" w:type="dxa"/>
            <w:vAlign w:val="center"/>
          </w:tcPr>
          <w:p>
            <w:pPr>
              <w:jc w:val="left"/>
              <w:rPr>
                <w:sz w:val="24"/>
              </w:rPr>
            </w:pPr>
            <w:r>
              <w:rPr>
                <w:sz w:val="24"/>
              </w:rPr>
              <w:t>投标样品递交：</w:t>
            </w:r>
          </w:p>
          <w:p>
            <w:pPr>
              <w:jc w:val="left"/>
              <w:rPr>
                <w:sz w:val="24"/>
              </w:rPr>
            </w:pPr>
            <w:r>
              <w:rPr>
                <w:b/>
                <w:color w:val="000000"/>
                <w:sz w:val="24"/>
              </w:rPr>
              <w:t>■</w:t>
            </w:r>
            <w:r>
              <w:rPr>
                <w:sz w:val="24"/>
              </w:rPr>
              <w:t>不需要</w:t>
            </w:r>
          </w:p>
          <w:p>
            <w:pPr>
              <w:jc w:val="left"/>
              <w:rPr>
                <w:sz w:val="24"/>
              </w:rPr>
            </w:pPr>
            <w:r>
              <w:rPr>
                <w:sz w:val="24"/>
              </w:rPr>
              <w:t>□需要，具体要求如下：</w:t>
            </w:r>
          </w:p>
          <w:p>
            <w:pPr>
              <w:jc w:val="left"/>
              <w:rPr>
                <w:sz w:val="24"/>
                <w:u w:val="single"/>
              </w:rPr>
            </w:pPr>
            <w:r>
              <w:rPr>
                <w:sz w:val="24"/>
              </w:rPr>
              <w:t>（1）样品制作的标准和要求：_________；</w:t>
            </w:r>
          </w:p>
          <w:p>
            <w:pPr>
              <w:jc w:val="left"/>
              <w:rPr>
                <w:sz w:val="24"/>
              </w:rPr>
            </w:pPr>
            <w:r>
              <w:rPr>
                <w:sz w:val="24"/>
              </w:rPr>
              <w:t>（2）是否需要随样品提交相关检测报告：</w:t>
            </w:r>
          </w:p>
          <w:p>
            <w:pPr>
              <w:ind w:firstLine="600" w:firstLineChars="250"/>
              <w:jc w:val="left"/>
              <w:rPr>
                <w:sz w:val="24"/>
              </w:rPr>
            </w:pPr>
            <w:r>
              <w:rPr>
                <w:sz w:val="24"/>
              </w:rPr>
              <w:t>□不需要</w:t>
            </w:r>
          </w:p>
          <w:p>
            <w:pPr>
              <w:ind w:firstLine="600" w:firstLineChars="250"/>
              <w:jc w:val="left"/>
              <w:rPr>
                <w:sz w:val="24"/>
              </w:rPr>
            </w:pPr>
            <w:r>
              <w:rPr>
                <w:sz w:val="24"/>
              </w:rPr>
              <w:t>□需要</w:t>
            </w:r>
          </w:p>
          <w:p>
            <w:pPr>
              <w:jc w:val="left"/>
              <w:rPr>
                <w:sz w:val="24"/>
              </w:rPr>
            </w:pPr>
            <w:r>
              <w:rPr>
                <w:sz w:val="24"/>
              </w:rPr>
              <w:t>（3）样品递交要求：_________；</w:t>
            </w:r>
          </w:p>
          <w:p>
            <w:pPr>
              <w:jc w:val="left"/>
              <w:rPr>
                <w:sz w:val="24"/>
              </w:rPr>
            </w:pPr>
            <w:r>
              <w:rPr>
                <w:sz w:val="24"/>
              </w:rPr>
              <w:t>（4）未中标人样品退还：_________；</w:t>
            </w:r>
          </w:p>
          <w:p>
            <w:pPr>
              <w:jc w:val="left"/>
              <w:rPr>
                <w:sz w:val="24"/>
                <w:u w:val="single"/>
              </w:rPr>
            </w:pPr>
            <w:r>
              <w:rPr>
                <w:sz w:val="24"/>
              </w:rPr>
              <w:t>（5）中标人样品保管、封存及退还：_________；</w:t>
            </w:r>
          </w:p>
          <w:p>
            <w:pPr>
              <w:jc w:val="left"/>
              <w:rPr>
                <w:sz w:val="24"/>
              </w:rPr>
            </w:pPr>
            <w:r>
              <w:rPr>
                <w:sz w:val="24"/>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pPr>
              <w:jc w:val="center"/>
              <w:rPr>
                <w:sz w:val="24"/>
              </w:rPr>
            </w:pPr>
            <w:r>
              <w:rPr>
                <w:sz w:val="24"/>
              </w:rPr>
              <w:t>标的所属行业</w:t>
            </w:r>
          </w:p>
        </w:tc>
        <w:tc>
          <w:tcPr>
            <w:tcW w:w="7540" w:type="dxa"/>
            <w:vAlign w:val="center"/>
          </w:tcPr>
          <w:p>
            <w:pPr>
              <w:jc w:val="left"/>
              <w:rPr>
                <w:sz w:val="24"/>
              </w:rPr>
            </w:pPr>
            <w:r>
              <w:rPr>
                <w:sz w:val="24"/>
              </w:rPr>
              <w:t>本项目采购标的对应的中小企业划分标准所属行业：</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标的名称</w:t>
                  </w:r>
                </w:p>
              </w:tc>
              <w:tc>
                <w:tcPr>
                  <w:tcW w:w="2504"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cs="宋体" w:asciiTheme="minorEastAsia" w:hAnsiTheme="minorEastAsia" w:eastAsiaTheme="minorEastAsia"/>
                      <w:b/>
                      <w:bCs/>
                      <w:color w:val="000000"/>
                      <w:kern w:val="0"/>
                      <w:sz w:val="24"/>
                      <w:highlight w:val="none"/>
                      <w:lang w:val="en-US" w:eastAsia="zh-CN"/>
                    </w:rPr>
                  </w:pPr>
                  <w:r>
                    <w:rPr>
                      <w:rFonts w:hint="eastAsia"/>
                      <w:kern w:val="0"/>
                      <w:sz w:val="24"/>
                      <w:highlight w:val="none"/>
                      <w:lang w:val="en-US" w:eastAsia="zh-CN"/>
                    </w:rPr>
                    <w:t>多媒体设备</w:t>
                  </w:r>
                </w:p>
              </w:tc>
              <w:tc>
                <w:tcPr>
                  <w:tcW w:w="250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4"/>
                      <w:highlight w:val="none"/>
                      <w:lang w:val="en-US" w:eastAsia="zh-CN"/>
                    </w:rPr>
                  </w:pPr>
                  <w:r>
                    <w:rPr>
                      <w:rFonts w:hint="eastAsia"/>
                      <w:kern w:val="0"/>
                      <w:sz w:val="24"/>
                      <w:highlight w:val="none"/>
                      <w:lang w:val="en-US" w:eastAsia="zh-CN"/>
                    </w:rPr>
                    <w:t>工业</w:t>
                  </w:r>
                </w:p>
              </w:tc>
            </w:tr>
          </w:tbl>
          <w:p>
            <w:pPr>
              <w:jc w:val="left"/>
              <w:rPr>
                <w:sz w:val="24"/>
              </w:rPr>
            </w:pPr>
          </w:p>
        </w:tc>
      </w:tr>
    </w:tbl>
    <w:p>
      <w:r>
        <w:br w:type="page"/>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ascii="Times New Roman" w:hAnsi="Times New Roman"/>
                <w:sz w:val="24"/>
                <w:szCs w:val="24"/>
              </w:rPr>
              <w:t>1</w:t>
            </w:r>
            <w:r>
              <w:rPr>
                <w:rFonts w:hint="default" w:ascii="Times New Roman" w:hAnsi="Times New Roman"/>
                <w:sz w:val="24"/>
                <w:szCs w:val="24"/>
              </w:rPr>
              <w:t>1.2</w:t>
            </w:r>
          </w:p>
        </w:tc>
        <w:tc>
          <w:tcPr>
            <w:tcW w:w="1701" w:type="dxa"/>
            <w:vAlign w:val="center"/>
          </w:tcPr>
          <w:p>
            <w:pPr>
              <w:jc w:val="center"/>
              <w:rPr>
                <w:sz w:val="24"/>
              </w:rPr>
            </w:pPr>
            <w:r>
              <w:rPr>
                <w:rFonts w:hint="eastAsia"/>
                <w:sz w:val="24"/>
              </w:rPr>
              <w:t>投标报价</w:t>
            </w:r>
          </w:p>
        </w:tc>
        <w:tc>
          <w:tcPr>
            <w:tcW w:w="7540" w:type="dxa"/>
            <w:vAlign w:val="center"/>
          </w:tcPr>
          <w:p>
            <w:pPr>
              <w:jc w:val="left"/>
              <w:rPr>
                <w:sz w:val="24"/>
              </w:rPr>
            </w:pPr>
            <w:r>
              <w:rPr>
                <w:rFonts w:hint="eastAsia"/>
                <w:sz w:val="24"/>
              </w:rPr>
              <w:t>投标报价的特殊规定：</w:t>
            </w:r>
          </w:p>
          <w:p>
            <w:pPr>
              <w:jc w:val="left"/>
              <w:rPr>
                <w:sz w:val="24"/>
              </w:rPr>
            </w:pPr>
            <w:r>
              <w:rPr>
                <w:b/>
                <w:color w:val="000000"/>
                <w:sz w:val="24"/>
              </w:rPr>
              <w:t>■</w:t>
            </w:r>
            <w:r>
              <w:rPr>
                <w:sz w:val="24"/>
              </w:rPr>
              <w:t>无</w:t>
            </w:r>
          </w:p>
          <w:p>
            <w:pPr>
              <w:jc w:val="left"/>
              <w:rPr>
                <w:sz w:val="24"/>
              </w:rPr>
            </w:pPr>
            <w:r>
              <w:rPr>
                <w:sz w:val="24"/>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pPr>
              <w:jc w:val="center"/>
              <w:rPr>
                <w:sz w:val="24"/>
              </w:rPr>
            </w:pPr>
            <w:r>
              <w:rPr>
                <w:sz w:val="24"/>
              </w:rPr>
              <w:t>投标保证金</w:t>
            </w:r>
          </w:p>
        </w:tc>
        <w:tc>
          <w:tcPr>
            <w:tcW w:w="7540" w:type="dxa"/>
            <w:vAlign w:val="center"/>
          </w:tcPr>
          <w:p>
            <w:pPr>
              <w:pStyle w:val="24"/>
              <w:adjustRightInd w:val="0"/>
              <w:snapToGrid w:val="0"/>
              <w:rPr>
                <w:rFonts w:hint="default" w:ascii="Times New Roman" w:hAnsi="Times New Roman"/>
                <w:sz w:val="24"/>
                <w:szCs w:val="24"/>
              </w:rPr>
            </w:pPr>
            <w:r>
              <w:rPr>
                <w:rFonts w:hint="default" w:ascii="Times New Roman" w:hAnsi="Times New Roman"/>
                <w:sz w:val="24"/>
                <w:szCs w:val="24"/>
              </w:rPr>
              <w:t>投标保证金金额：</w:t>
            </w:r>
          </w:p>
          <w:p>
            <w:pPr>
              <w:pStyle w:val="24"/>
              <w:adjustRightInd w:val="0"/>
              <w:snapToGrid w:val="0"/>
              <w:rPr>
                <w:rFonts w:hint="default" w:ascii="Times New Roman" w:hAnsi="Times New Roman"/>
                <w:sz w:val="24"/>
                <w:szCs w:val="24"/>
              </w:rPr>
            </w:pPr>
            <w:r>
              <w:rPr>
                <w:rFonts w:hint="default" w:ascii="Times New Roman" w:hAnsi="Times New Roman"/>
                <w:sz w:val="24"/>
                <w:szCs w:val="24"/>
              </w:rPr>
              <w:t>01包：</w:t>
            </w:r>
            <w:r>
              <w:rPr>
                <w:rFonts w:hint="eastAsia" w:ascii="Times New Roman" w:hAnsi="Times New Roman"/>
                <w:sz w:val="24"/>
                <w:u w:val="single"/>
                <w:lang w:val="en-US" w:eastAsia="zh-CN"/>
              </w:rPr>
              <w:t>1.50万元</w:t>
            </w:r>
            <w:r>
              <w:rPr>
                <w:rFonts w:ascii="Times New Roman" w:hAnsi="Times New Roman"/>
                <w:sz w:val="24"/>
                <w:szCs w:val="24"/>
              </w:rPr>
              <w:t>。</w:t>
            </w:r>
          </w:p>
          <w:p>
            <w:pPr>
              <w:jc w:val="left"/>
              <w:rPr>
                <w:sz w:val="24"/>
              </w:rPr>
            </w:pPr>
            <w:r>
              <w:rPr>
                <w:sz w:val="24"/>
              </w:rPr>
              <w:t>投标保证金收受人信息：</w:t>
            </w:r>
          </w:p>
          <w:p>
            <w:pPr>
              <w:jc w:val="left"/>
              <w:rPr>
                <w:sz w:val="24"/>
              </w:rPr>
            </w:pPr>
            <w:r>
              <w:rPr>
                <w:rFonts w:hint="eastAsia"/>
                <w:sz w:val="24"/>
              </w:rPr>
              <w:t>收款单位：北京国际工程咨询有限公司；</w:t>
            </w:r>
          </w:p>
          <w:p>
            <w:pPr>
              <w:jc w:val="left"/>
              <w:rPr>
                <w:sz w:val="24"/>
              </w:rPr>
            </w:pPr>
            <w:r>
              <w:rPr>
                <w:rFonts w:hint="eastAsia"/>
                <w:sz w:val="24"/>
              </w:rPr>
              <w:t xml:space="preserve">开户行：交通银行北京右安门支行； </w:t>
            </w:r>
          </w:p>
          <w:p>
            <w:pPr>
              <w:jc w:val="left"/>
              <w:rPr>
                <w:sz w:val="24"/>
              </w:rPr>
            </w:pPr>
            <w:r>
              <w:rPr>
                <w:rFonts w:hint="eastAsia"/>
                <w:sz w:val="24"/>
              </w:rPr>
              <w:t>账号：</w:t>
            </w:r>
            <w:r>
              <w:rPr>
                <w:sz w:val="24"/>
              </w:rPr>
              <w:t>81100602610130021000001</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12.7.2</w:t>
            </w:r>
          </w:p>
        </w:tc>
        <w:tc>
          <w:tcPr>
            <w:tcW w:w="1701" w:type="dxa"/>
            <w:vMerge w:val="continue"/>
            <w:vAlign w:val="center"/>
          </w:tcPr>
          <w:p>
            <w:pPr>
              <w:jc w:val="center"/>
              <w:rPr>
                <w:sz w:val="24"/>
              </w:rPr>
            </w:pPr>
          </w:p>
        </w:tc>
        <w:tc>
          <w:tcPr>
            <w:tcW w:w="7540" w:type="dxa"/>
            <w:vAlign w:val="center"/>
          </w:tcPr>
          <w:p>
            <w:pPr>
              <w:jc w:val="left"/>
              <w:rPr>
                <w:sz w:val="24"/>
              </w:rPr>
            </w:pPr>
            <w:r>
              <w:rPr>
                <w:sz w:val="24"/>
              </w:rPr>
              <w:t>投标保证金可以不予退还的其他情形：</w:t>
            </w:r>
          </w:p>
          <w:p>
            <w:pPr>
              <w:jc w:val="left"/>
              <w:rPr>
                <w:sz w:val="24"/>
              </w:rPr>
            </w:pPr>
            <w:r>
              <w:rPr>
                <w:sz w:val="24"/>
              </w:rPr>
              <w:t>□无</w:t>
            </w:r>
          </w:p>
          <w:p>
            <w:pPr>
              <w:pStyle w:val="24"/>
              <w:adjustRightInd w:val="0"/>
              <w:snapToGrid w:val="0"/>
              <w:rPr>
                <w:rFonts w:hint="default" w:ascii="Times New Roman" w:hAnsi="Times New Roman"/>
                <w:sz w:val="24"/>
              </w:rPr>
            </w:pPr>
            <w:r>
              <w:rPr>
                <w:color w:val="000000"/>
                <w:sz w:val="18"/>
                <w:szCs w:val="18"/>
              </w:rPr>
              <w:t>■</w:t>
            </w:r>
            <w:r>
              <w:rPr>
                <w:rFonts w:hint="default" w:ascii="Times New Roman" w:hAnsi="Times New Roman"/>
                <w:sz w:val="24"/>
              </w:rPr>
              <w:t>有，具体情形：</w:t>
            </w:r>
          </w:p>
          <w:p>
            <w:pPr>
              <w:pStyle w:val="24"/>
              <w:adjustRightInd w:val="0"/>
              <w:snapToGrid w:val="0"/>
              <w:rPr>
                <w:rFonts w:hint="default" w:ascii="Times New Roman" w:hAnsi="Times New Roman"/>
                <w:sz w:val="24"/>
              </w:rPr>
            </w:pPr>
            <w:r>
              <w:rPr>
                <w:sz w:val="24"/>
              </w:rPr>
              <w:t>1.投标有效期内投标人撤销投标文件的；</w:t>
            </w:r>
          </w:p>
          <w:p>
            <w:pPr>
              <w:pStyle w:val="24"/>
              <w:adjustRightInd w:val="0"/>
              <w:snapToGrid w:val="0"/>
              <w:rPr>
                <w:rFonts w:hint="default" w:ascii="Times New Roman" w:hAnsi="Times New Roman"/>
                <w:sz w:val="24"/>
              </w:rPr>
            </w:pPr>
            <w:r>
              <w:rPr>
                <w:rFonts w:ascii="Times New Roman" w:hAnsi="Times New Roman"/>
                <w:sz w:val="24"/>
              </w:rPr>
              <w:t>2.投标人在投标文件中提供任何虚假材料的；</w:t>
            </w:r>
          </w:p>
          <w:p>
            <w:pPr>
              <w:pStyle w:val="24"/>
              <w:adjustRightInd w:val="0"/>
              <w:snapToGrid w:val="0"/>
              <w:rPr>
                <w:rFonts w:hint="default" w:ascii="Times New Roman" w:hAnsi="Times New Roman"/>
                <w:sz w:val="24"/>
              </w:rPr>
            </w:pPr>
            <w:r>
              <w:rPr>
                <w:rFonts w:ascii="Times New Roman" w:hAnsi="Times New Roman"/>
                <w:sz w:val="24"/>
              </w:rPr>
              <w:t>3.中标人不按本须知的规定与采购人签订合同的；</w:t>
            </w:r>
          </w:p>
          <w:p>
            <w:pPr>
              <w:pStyle w:val="24"/>
              <w:adjustRightInd w:val="0"/>
              <w:snapToGrid w:val="0"/>
              <w:rPr>
                <w:rFonts w:hint="default" w:ascii="Times New Roman" w:hAnsi="Times New Roman"/>
                <w:sz w:val="24"/>
              </w:rPr>
            </w:pPr>
            <w:r>
              <w:rPr>
                <w:rFonts w:ascii="Times New Roman" w:hAnsi="Times New Roman"/>
                <w:sz w:val="24"/>
              </w:rPr>
              <w:t>4.中标人将中标项目转让给他人，或者在投标文件中未说明，且未经采购人同意，将中标项目分包给他人的；</w:t>
            </w:r>
          </w:p>
          <w:p>
            <w:pPr>
              <w:pStyle w:val="24"/>
              <w:adjustRightInd w:val="0"/>
              <w:snapToGrid w:val="0"/>
              <w:rPr>
                <w:rFonts w:hint="default" w:ascii="Times New Roman" w:hAnsi="Times New Roman"/>
                <w:sz w:val="24"/>
                <w:szCs w:val="24"/>
              </w:rPr>
            </w:pPr>
            <w:r>
              <w:rPr>
                <w:rFonts w:ascii="Times New Roman" w:hAnsi="Times New Roman"/>
                <w:sz w:val="24"/>
              </w:rPr>
              <w:t>5.中标人拒绝履行合同义务的。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pPr>
              <w:jc w:val="center"/>
              <w:rPr>
                <w:sz w:val="24"/>
              </w:rPr>
            </w:pPr>
            <w:r>
              <w:rPr>
                <w:sz w:val="24"/>
              </w:rPr>
              <w:t>投标有效期</w:t>
            </w:r>
          </w:p>
        </w:tc>
        <w:tc>
          <w:tcPr>
            <w:tcW w:w="7540" w:type="dxa"/>
            <w:vAlign w:val="center"/>
          </w:tcPr>
          <w:p>
            <w:pPr>
              <w:jc w:val="left"/>
              <w:rPr>
                <w:sz w:val="24"/>
              </w:rPr>
            </w:pPr>
            <w:r>
              <w:rPr>
                <w:sz w:val="24"/>
              </w:rPr>
              <w:t>自提交投标文件的截止之日起算</w:t>
            </w:r>
            <w:r>
              <w:rPr>
                <w:rFonts w:hint="eastAsia"/>
                <w:sz w:val="24"/>
                <w:u w:val="single"/>
              </w:rPr>
              <w:t xml:space="preserve"> 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pPr>
              <w:jc w:val="center"/>
              <w:rPr>
                <w:sz w:val="24"/>
              </w:rPr>
            </w:pPr>
            <w:r>
              <w:rPr>
                <w:sz w:val="24"/>
              </w:rPr>
              <w:t>确定中标人</w:t>
            </w:r>
          </w:p>
        </w:tc>
        <w:tc>
          <w:tcPr>
            <w:tcW w:w="7540" w:type="dxa"/>
            <w:vAlign w:val="center"/>
          </w:tcPr>
          <w:p>
            <w:pPr>
              <w:pStyle w:val="24"/>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pPr>
              <w:pStyle w:val="24"/>
              <w:adjustRightInd w:val="0"/>
              <w:snapToGrid w:val="0"/>
              <w:rPr>
                <w:rFonts w:hint="default" w:ascii="Times New Roman" w:hAnsi="Times New Roman"/>
                <w:sz w:val="24"/>
              </w:rPr>
            </w:pPr>
            <w:r>
              <w:rPr>
                <w:b/>
                <w:color w:val="000000"/>
                <w:sz w:val="18"/>
                <w:szCs w:val="18"/>
              </w:rPr>
              <w:t>■</w:t>
            </w:r>
            <w:r>
              <w:rPr>
                <w:rFonts w:hint="default" w:ascii="Times New Roman" w:hAnsi="Times New Roman"/>
                <w:sz w:val="24"/>
              </w:rPr>
              <w:t>否</w:t>
            </w:r>
          </w:p>
          <w:p>
            <w:pPr>
              <w:pStyle w:val="24"/>
              <w:adjustRightInd w:val="0"/>
              <w:snapToGrid w:val="0"/>
              <w:rPr>
                <w:rFonts w:hint="default" w:ascii="Times New Roman" w:hAnsi="Times New Roman"/>
                <w:sz w:val="24"/>
              </w:rPr>
            </w:pPr>
            <w:r>
              <w:rPr>
                <w:rFonts w:hint="default" w:ascii="Times New Roman" w:hAnsi="Times New Roman"/>
                <w:sz w:val="24"/>
              </w:rPr>
              <w:t>□是</w:t>
            </w:r>
          </w:p>
          <w:p>
            <w:pPr>
              <w:pStyle w:val="24"/>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pPr>
              <w:pStyle w:val="24"/>
              <w:adjustRightInd w:val="0"/>
              <w:snapToGrid w:val="0"/>
              <w:rPr>
                <w:rFonts w:hint="default" w:ascii="Times New Roman" w:hAnsi="Times New Roman"/>
                <w:sz w:val="24"/>
              </w:rPr>
            </w:pPr>
            <w:r>
              <w:rPr>
                <w:b/>
                <w:color w:val="000000"/>
                <w:sz w:val="18"/>
                <w:szCs w:val="18"/>
              </w:rPr>
              <w:t>■</w:t>
            </w:r>
            <w:r>
              <w:rPr>
                <w:rFonts w:hint="default" w:ascii="Times New Roman" w:hAnsi="Times New Roman"/>
                <w:sz w:val="24"/>
              </w:rPr>
              <w:t>得分且投标报价均相同的，以</w:t>
            </w:r>
            <w:r>
              <w:rPr>
                <w:rFonts w:hint="default" w:ascii="Times New Roman" w:hAnsi="Times New Roman"/>
                <w:sz w:val="24"/>
                <w:u w:val="single"/>
              </w:rPr>
              <w:t>技术部分</w:t>
            </w:r>
            <w:r>
              <w:rPr>
                <w:rFonts w:hint="default" w:ascii="Times New Roman" w:hAnsi="Times New Roman"/>
                <w:sz w:val="24"/>
              </w:rPr>
              <w:t>得分高者为中标人</w:t>
            </w:r>
          </w:p>
          <w:p>
            <w:pPr>
              <w:jc w:val="left"/>
              <w:rPr>
                <w:sz w:val="24"/>
                <w:u w:val="single"/>
              </w:rPr>
            </w:pPr>
            <w:r>
              <w:rPr>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pPr>
              <w:jc w:val="center"/>
              <w:rPr>
                <w:sz w:val="24"/>
              </w:rPr>
            </w:pPr>
            <w:r>
              <w:rPr>
                <w:sz w:val="24"/>
              </w:rPr>
              <w:t>分包</w:t>
            </w:r>
          </w:p>
        </w:tc>
        <w:tc>
          <w:tcPr>
            <w:tcW w:w="7540" w:type="dxa"/>
            <w:vAlign w:val="center"/>
          </w:tcPr>
          <w:p>
            <w:pPr>
              <w:jc w:val="left"/>
              <w:rPr>
                <w:sz w:val="24"/>
              </w:rPr>
            </w:pPr>
            <w:r>
              <w:rPr>
                <w:sz w:val="24"/>
              </w:rPr>
              <w:t xml:space="preserve">本项目的非主体、非关键性工作是否允许分包： </w:t>
            </w:r>
          </w:p>
          <w:p>
            <w:pPr>
              <w:jc w:val="left"/>
              <w:rPr>
                <w:sz w:val="24"/>
              </w:rPr>
            </w:pPr>
            <w:r>
              <w:rPr>
                <w:rFonts w:ascii="宋体" w:hAnsi="Courier New"/>
                <w:b/>
                <w:color w:val="000000"/>
                <w:sz w:val="18"/>
                <w:szCs w:val="18"/>
              </w:rPr>
              <w:t>■</w:t>
            </w:r>
            <w:r>
              <w:rPr>
                <w:sz w:val="24"/>
              </w:rPr>
              <w:t>不允许</w:t>
            </w:r>
          </w:p>
          <w:p>
            <w:pPr>
              <w:jc w:val="left"/>
              <w:rPr>
                <w:sz w:val="24"/>
              </w:rPr>
            </w:pPr>
            <w:r>
              <w:rPr>
                <w:sz w:val="24"/>
              </w:rPr>
              <w:t>□允许，具体要求：</w:t>
            </w:r>
          </w:p>
          <w:p>
            <w:pPr>
              <w:jc w:val="left"/>
              <w:rPr>
                <w:sz w:val="24"/>
              </w:rPr>
            </w:pPr>
            <w:r>
              <w:rPr>
                <w:sz w:val="24"/>
              </w:rPr>
              <w:t>（1）可以分包履行的具体内容：_____；</w:t>
            </w:r>
          </w:p>
          <w:p>
            <w:pPr>
              <w:jc w:val="left"/>
              <w:rPr>
                <w:sz w:val="24"/>
              </w:rPr>
            </w:pPr>
            <w:r>
              <w:rPr>
                <w:sz w:val="24"/>
              </w:rPr>
              <w:t>（2）允许分包的金额或者比例：_____；</w:t>
            </w:r>
          </w:p>
          <w:p>
            <w:pPr>
              <w:jc w:val="left"/>
              <w:rPr>
                <w:sz w:val="24"/>
                <w:u w:val="single"/>
              </w:rPr>
            </w:pPr>
            <w:r>
              <w:rPr>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pPr>
              <w:jc w:val="center"/>
              <w:rPr>
                <w:sz w:val="24"/>
              </w:rPr>
            </w:pPr>
            <w:r>
              <w:rPr>
                <w:sz w:val="24"/>
              </w:rPr>
              <w:t>询问</w:t>
            </w:r>
          </w:p>
        </w:tc>
        <w:tc>
          <w:tcPr>
            <w:tcW w:w="7540" w:type="dxa"/>
            <w:vAlign w:val="center"/>
          </w:tcPr>
          <w:p>
            <w:pPr>
              <w:jc w:val="left"/>
              <w:rPr>
                <w:sz w:val="24"/>
              </w:rPr>
            </w:pPr>
            <w:r>
              <w:rPr>
                <w:sz w:val="24"/>
              </w:rPr>
              <w:t>询问送达形式：</w:t>
            </w:r>
            <w:r>
              <w:rPr>
                <w:rFonts w:hint="eastAsia"/>
                <w:sz w:val="24"/>
                <w:u w:val="singl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pPr>
              <w:jc w:val="center"/>
              <w:rPr>
                <w:sz w:val="24"/>
              </w:rPr>
            </w:pPr>
            <w:r>
              <w:rPr>
                <w:sz w:val="24"/>
              </w:rPr>
              <w:t>联系方式</w:t>
            </w:r>
          </w:p>
        </w:tc>
        <w:tc>
          <w:tcPr>
            <w:tcW w:w="7540" w:type="dxa"/>
            <w:vAlign w:val="center"/>
          </w:tcPr>
          <w:p>
            <w:pPr>
              <w:jc w:val="left"/>
              <w:rPr>
                <w:sz w:val="24"/>
              </w:rPr>
            </w:pPr>
            <w:r>
              <w:rPr>
                <w:sz w:val="24"/>
              </w:rPr>
              <w:t>接收询问和质疑的联系方式</w:t>
            </w:r>
          </w:p>
          <w:p>
            <w:pPr>
              <w:jc w:val="left"/>
              <w:rPr>
                <w:sz w:val="24"/>
              </w:rPr>
            </w:pPr>
            <w:r>
              <w:rPr>
                <w:sz w:val="24"/>
              </w:rPr>
              <w:t>联系部门：</w:t>
            </w:r>
            <w:r>
              <w:rPr>
                <w:sz w:val="24"/>
                <w:u w:val="single"/>
              </w:rPr>
              <w:t>北京国际工程咨询有限公司</w:t>
            </w:r>
            <w:r>
              <w:rPr>
                <w:sz w:val="24"/>
              </w:rPr>
              <w:t>；</w:t>
            </w:r>
          </w:p>
          <w:p>
            <w:pPr>
              <w:jc w:val="left"/>
              <w:rPr>
                <w:sz w:val="24"/>
              </w:rPr>
            </w:pPr>
            <w:r>
              <w:rPr>
                <w:sz w:val="24"/>
              </w:rPr>
              <w:t>联系电话：</w:t>
            </w:r>
            <w:r>
              <w:rPr>
                <w:rFonts w:hint="eastAsia"/>
                <w:sz w:val="24"/>
                <w:u w:val="single"/>
              </w:rPr>
              <w:t>崔云龙、赵雯，010-63256361转</w:t>
            </w:r>
            <w:r>
              <w:rPr>
                <w:sz w:val="24"/>
                <w:u w:val="single"/>
              </w:rPr>
              <w:t>6290</w:t>
            </w:r>
            <w:r>
              <w:rPr>
                <w:sz w:val="24"/>
              </w:rPr>
              <w:t>；</w:t>
            </w:r>
          </w:p>
          <w:p>
            <w:pPr>
              <w:jc w:val="left"/>
              <w:rPr>
                <w:sz w:val="24"/>
              </w:rPr>
            </w:pPr>
            <w:r>
              <w:rPr>
                <w:sz w:val="24"/>
              </w:rPr>
              <w:t>通讯地址：</w:t>
            </w:r>
            <w:r>
              <w:rPr>
                <w:rFonts w:hint="eastAsia"/>
                <w:sz w:val="24"/>
                <w:u w:val="single"/>
              </w:rPr>
              <w:t>北京市西城区广安门外大街甲275号</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sz w:val="24"/>
              </w:rPr>
              <w:t>收费对象：</w:t>
            </w:r>
          </w:p>
          <w:p>
            <w:pPr>
              <w:jc w:val="left"/>
              <w:rPr>
                <w:sz w:val="24"/>
              </w:rPr>
            </w:pPr>
            <w:r>
              <w:rPr>
                <w:sz w:val="24"/>
              </w:rPr>
              <w:t>□采购人</w:t>
            </w:r>
          </w:p>
          <w:p>
            <w:pPr>
              <w:jc w:val="left"/>
              <w:rPr>
                <w:sz w:val="24"/>
              </w:rPr>
            </w:pPr>
            <w:r>
              <w:rPr>
                <w:rFonts w:ascii="宋体" w:hAnsi="Courier New"/>
                <w:b/>
                <w:color w:val="000000"/>
                <w:sz w:val="18"/>
                <w:szCs w:val="18"/>
              </w:rPr>
              <w:t>■</w:t>
            </w:r>
            <w:r>
              <w:rPr>
                <w:sz w:val="24"/>
              </w:rPr>
              <w:t>中标人</w:t>
            </w:r>
          </w:p>
          <w:p>
            <w:pPr>
              <w:jc w:val="left"/>
              <w:rPr>
                <w:sz w:val="24"/>
              </w:rPr>
            </w:pPr>
            <w:r>
              <w:rPr>
                <w:sz w:val="24"/>
              </w:rPr>
              <w:t>收费标准：</w:t>
            </w:r>
            <w:r>
              <w:rPr>
                <w:rFonts w:hint="eastAsia"/>
                <w:sz w:val="24"/>
                <w:u w:val="single"/>
              </w:rPr>
              <w:t>按原《招标代理服务收费管理暂行办法》（计价格[2002]1980号）和《关于招标代理服务收费有关问题的通知》（发改办价格[2003]857号）执行，按中标金额差额定率累进法计算</w:t>
            </w:r>
            <w:r>
              <w:rPr>
                <w:rFonts w:hint="eastAsia"/>
                <w:sz w:val="24"/>
                <w:u w:val="single"/>
                <w:lang w:eastAsia="zh-CN"/>
              </w:rPr>
              <w:t>，</w:t>
            </w:r>
            <w:r>
              <w:rPr>
                <w:rFonts w:hint="eastAsia"/>
                <w:sz w:val="24"/>
                <w:u w:val="single"/>
                <w:lang w:val="en-US" w:eastAsia="zh-CN"/>
              </w:rPr>
              <w:t>最终金额为20500元</w:t>
            </w:r>
            <w:r>
              <w:rPr>
                <w:sz w:val="24"/>
              </w:rPr>
              <w:t>；</w:t>
            </w:r>
          </w:p>
          <w:p>
            <w:pPr>
              <w:jc w:val="left"/>
              <w:rPr>
                <w:sz w:val="24"/>
              </w:rPr>
            </w:pPr>
            <w:r>
              <w:rPr>
                <w:sz w:val="24"/>
              </w:rPr>
              <w:t>缴纳时间：</w:t>
            </w:r>
            <w:r>
              <w:rPr>
                <w:rFonts w:hint="eastAsia"/>
                <w:sz w:val="24"/>
                <w:u w:val="single"/>
              </w:rPr>
              <w:t>本项目的中标人应在中标通知书发出后五个工作日内一次性向招标代理机构支付招标代理服务费</w:t>
            </w:r>
            <w:r>
              <w:rPr>
                <w:sz w:val="24"/>
                <w:u w:val="single"/>
              </w:rPr>
              <w:t>。</w:t>
            </w:r>
          </w:p>
        </w:tc>
      </w:tr>
    </w:tbl>
    <w:p>
      <w:pPr>
        <w:tabs>
          <w:tab w:val="left" w:pos="5580"/>
        </w:tabs>
        <w:adjustRightInd w:val="0"/>
        <w:spacing w:line="360" w:lineRule="auto"/>
        <w:jc w:val="distribute"/>
        <w:rPr>
          <w:sz w:val="24"/>
        </w:rPr>
        <w:sectPr>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b/>
          <w:sz w:val="28"/>
          <w:szCs w:val="28"/>
        </w:rPr>
      </w:pPr>
      <w:bookmarkStart w:id="73" w:name="_Toc127151517"/>
      <w:bookmarkStart w:id="74" w:name="_Toc305158859"/>
      <w:bookmarkStart w:id="75" w:name="_Toc226965790"/>
      <w:bookmarkStart w:id="76" w:name="_Toc305158785"/>
      <w:bookmarkStart w:id="77" w:name="_Toc353873932"/>
      <w:bookmarkStart w:id="78" w:name="_Toc353873662"/>
      <w:bookmarkStart w:id="79" w:name="_Toc195842882"/>
      <w:bookmarkStart w:id="80" w:name="_Toc353825542"/>
      <w:bookmarkStart w:id="81" w:name="_Toc150480755"/>
      <w:bookmarkStart w:id="82" w:name="_Toc226337213"/>
      <w:bookmarkStart w:id="83" w:name="_Toc142311019"/>
      <w:bookmarkStart w:id="84" w:name="_Toc264969207"/>
      <w:bookmarkStart w:id="85" w:name="_Toc150774722"/>
      <w:bookmarkStart w:id="86" w:name="_Toc265228355"/>
      <w:r>
        <w:rPr>
          <w:b/>
          <w:sz w:val="28"/>
          <w:szCs w:val="28"/>
        </w:rPr>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4"/>
        <w:tabs>
          <w:tab w:val="center" w:pos="4592"/>
          <w:tab w:val="left" w:pos="7860"/>
        </w:tabs>
        <w:spacing w:before="0" w:line="360" w:lineRule="auto"/>
        <w:jc w:val="left"/>
        <w:rPr>
          <w:rFonts w:ascii="Times New Roman" w:hAnsi="Times New Roman" w:eastAsia="宋体"/>
          <w:sz w:val="28"/>
        </w:rPr>
      </w:pPr>
      <w:bookmarkStart w:id="87" w:name="_Toc127151518"/>
      <w:bookmarkStart w:id="88" w:name="_Toc520356143"/>
      <w:r>
        <w:rPr>
          <w:rFonts w:ascii="Times New Roman" w:hAnsi="Times New Roman" w:eastAsia="宋体"/>
          <w:sz w:val="28"/>
        </w:rPr>
        <w:tab/>
      </w:r>
      <w:bookmarkStart w:id="89" w:name="_Toc150774723"/>
      <w:bookmarkStart w:id="90" w:name="_Toc305158860"/>
      <w:bookmarkStart w:id="91" w:name="_Toc226309762"/>
      <w:bookmarkStart w:id="92" w:name="_Toc151190145"/>
      <w:bookmarkStart w:id="93" w:name="_Toc151193760"/>
      <w:bookmarkStart w:id="94" w:name="_Toc150774618"/>
      <w:bookmarkStart w:id="95" w:name="_Toc226965791"/>
      <w:bookmarkStart w:id="96" w:name="_Toc265228356"/>
      <w:bookmarkStart w:id="97" w:name="_Toc142311020"/>
      <w:bookmarkStart w:id="98" w:name="_Toc226965708"/>
      <w:bookmarkStart w:id="99" w:name="_Toc226337214"/>
      <w:bookmarkStart w:id="100" w:name="_Toc150509269"/>
      <w:bookmarkStart w:id="101" w:name="_Toc151193832"/>
      <w:bookmarkStart w:id="102" w:name="_Toc264969208"/>
      <w:bookmarkStart w:id="103" w:name="_Toc150480756"/>
      <w:bookmarkStart w:id="104" w:name="_Toc151193688"/>
      <w:bookmarkStart w:id="105" w:name="_Toc195842883"/>
      <w:bookmarkStart w:id="106" w:name="_Toc305158786"/>
      <w:bookmarkStart w:id="107" w:name="_Toc151193906"/>
      <w:bookmarkStart w:id="108" w:name="_Toc151193616"/>
      <w:r>
        <w:rPr>
          <w:rFonts w:ascii="Times New Roman" w:hAnsi="Times New Roman" w:eastAsia="宋体"/>
          <w:sz w:val="28"/>
        </w:rPr>
        <w:t>一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hAnsi="Times New Roman" w:eastAsia="宋体"/>
          <w:sz w:val="28"/>
        </w:rPr>
        <w:tab/>
      </w:r>
    </w:p>
    <w:p>
      <w:pPr>
        <w:numPr>
          <w:ilvl w:val="0"/>
          <w:numId w:val="1"/>
        </w:numPr>
        <w:tabs>
          <w:tab w:val="left" w:pos="360"/>
          <w:tab w:val="clear" w:pos="900"/>
        </w:tabs>
        <w:snapToGrid w:val="0"/>
        <w:spacing w:line="360" w:lineRule="auto"/>
        <w:ind w:left="357" w:hanging="357"/>
        <w:outlineLvl w:val="1"/>
        <w:rPr>
          <w:sz w:val="24"/>
        </w:rPr>
      </w:pPr>
      <w:bookmarkStart w:id="109" w:name="_Toc305158861"/>
      <w:bookmarkStart w:id="110" w:name="_Toc264969209"/>
      <w:bookmarkStart w:id="111" w:name="_Toc265228357"/>
      <w:bookmarkStart w:id="112" w:name="_Toc305158787"/>
      <w:r>
        <w:rPr>
          <w:sz w:val="24"/>
        </w:rPr>
        <w:t>采购人、采购代理机构、投标人</w:t>
      </w:r>
      <w:bookmarkEnd w:id="109"/>
      <w:bookmarkEnd w:id="110"/>
      <w:bookmarkEnd w:id="111"/>
      <w:bookmarkEnd w:id="112"/>
      <w:r>
        <w:rPr>
          <w:rFonts w:hint="eastAsia"/>
          <w:sz w:val="24"/>
        </w:rPr>
        <w:t>、联合体</w:t>
      </w:r>
    </w:p>
    <w:p>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pPr>
        <w:numPr>
          <w:ilvl w:val="1"/>
          <w:numId w:val="1"/>
        </w:numPr>
        <w:tabs>
          <w:tab w:val="left" w:pos="1080"/>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pPr>
        <w:numPr>
          <w:ilvl w:val="1"/>
          <w:numId w:val="1"/>
        </w:numPr>
        <w:tabs>
          <w:tab w:val="left" w:pos="1080"/>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pPr>
        <w:numPr>
          <w:ilvl w:val="0"/>
          <w:numId w:val="1"/>
        </w:numPr>
        <w:tabs>
          <w:tab w:val="left" w:pos="360"/>
          <w:tab w:val="clear" w:pos="900"/>
        </w:tabs>
        <w:snapToGrid w:val="0"/>
        <w:spacing w:line="360" w:lineRule="auto"/>
        <w:ind w:left="357" w:hanging="357"/>
        <w:outlineLvl w:val="1"/>
        <w:rPr>
          <w:sz w:val="24"/>
        </w:rPr>
      </w:pPr>
      <w:bookmarkStart w:id="113" w:name="_Toc150774620"/>
      <w:bookmarkStart w:id="114" w:name="_Toc151193834"/>
      <w:bookmarkStart w:id="115" w:name="_Toc305158862"/>
      <w:bookmarkStart w:id="116" w:name="_Toc127151721"/>
      <w:bookmarkStart w:id="117" w:name="_Toc305158788"/>
      <w:bookmarkStart w:id="118" w:name="_Toc151193690"/>
      <w:bookmarkStart w:id="119" w:name="_Toc150774725"/>
      <w:bookmarkStart w:id="120" w:name="_Toc226965710"/>
      <w:bookmarkStart w:id="121" w:name="_Toc164608634"/>
      <w:bookmarkStart w:id="122" w:name="_Toc226309764"/>
      <w:bookmarkStart w:id="123" w:name="_Toc127151520"/>
      <w:bookmarkStart w:id="124" w:name="_Toc150509271"/>
      <w:bookmarkStart w:id="125" w:name="_Toc264969210"/>
      <w:bookmarkStart w:id="126" w:name="_Toc265228358"/>
      <w:bookmarkStart w:id="127" w:name="_Toc226965793"/>
      <w:bookmarkStart w:id="128" w:name="_Toc226337216"/>
      <w:bookmarkStart w:id="129" w:name="_Toc151193762"/>
      <w:bookmarkStart w:id="130" w:name="_Toc164608789"/>
      <w:bookmarkStart w:id="131" w:name="_Toc151193908"/>
      <w:bookmarkStart w:id="132" w:name="_Toc151193618"/>
      <w:bookmarkStart w:id="133" w:name="_Toc195842885"/>
      <w:bookmarkStart w:id="134" w:name="_Toc151190147"/>
      <w:bookmarkStart w:id="135" w:name="_Toc150480758"/>
      <w:bookmarkStart w:id="136" w:name="_Toc164229361"/>
      <w:bookmarkStart w:id="137" w:name="_Toc164229215"/>
      <w:bookmarkStart w:id="138" w:name="_Toc164351614"/>
      <w:bookmarkStart w:id="139" w:name="_Toc142311022"/>
      <w:bookmarkStart w:id="140" w:name="_Toc149720813"/>
      <w:bookmarkStart w:id="141" w:name="_Toc127161434"/>
      <w:r>
        <w:rPr>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sz w:val="24"/>
        </w:rPr>
        <w:t>、项目属性、科研仪器设备采购、核心产品</w:t>
      </w:r>
    </w:p>
    <w:p>
      <w:pPr>
        <w:numPr>
          <w:ilvl w:val="1"/>
          <w:numId w:val="1"/>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1"/>
        </w:numPr>
        <w:tabs>
          <w:tab w:val="left" w:pos="1080"/>
          <w:tab w:val="left" w:pos="2014"/>
        </w:tabs>
        <w:snapToGrid w:val="0"/>
        <w:spacing w:line="360" w:lineRule="auto"/>
        <w:ind w:left="1080" w:hanging="720"/>
        <w:rPr>
          <w:sz w:val="24"/>
        </w:rPr>
      </w:pPr>
      <w:r>
        <w:rPr>
          <w:sz w:val="24"/>
        </w:rPr>
        <w:t>项目属性见《投标人须知资料表》。</w:t>
      </w:r>
    </w:p>
    <w:p>
      <w:pPr>
        <w:numPr>
          <w:ilvl w:val="1"/>
          <w:numId w:val="1"/>
        </w:numPr>
        <w:tabs>
          <w:tab w:val="left" w:pos="1080"/>
          <w:tab w:val="left" w:pos="2014"/>
        </w:tabs>
        <w:snapToGrid w:val="0"/>
        <w:spacing w:line="360" w:lineRule="auto"/>
        <w:ind w:left="1080" w:hanging="720"/>
        <w:rPr>
          <w:sz w:val="24"/>
        </w:rPr>
      </w:pPr>
      <w:r>
        <w:rPr>
          <w:sz w:val="24"/>
        </w:rPr>
        <w:t>是否属于科研仪器设备采购见《投标人须知资料表》。</w:t>
      </w:r>
    </w:p>
    <w:p>
      <w:pPr>
        <w:numPr>
          <w:ilvl w:val="1"/>
          <w:numId w:val="1"/>
        </w:numPr>
        <w:tabs>
          <w:tab w:val="left" w:pos="1080"/>
          <w:tab w:val="left" w:pos="2014"/>
          <w:tab w:val="left" w:pos="5521"/>
        </w:tabs>
        <w:snapToGrid w:val="0"/>
        <w:spacing w:line="360" w:lineRule="auto"/>
        <w:ind w:left="1080" w:hanging="720"/>
        <w:rPr>
          <w:sz w:val="24"/>
        </w:rPr>
      </w:pPr>
      <w:r>
        <w:rPr>
          <w:sz w:val="24"/>
        </w:rPr>
        <w:t>核心产品见《投标人须知资料表》。</w:t>
      </w:r>
    </w:p>
    <w:p>
      <w:pPr>
        <w:numPr>
          <w:ilvl w:val="0"/>
          <w:numId w:val="1"/>
        </w:numPr>
        <w:tabs>
          <w:tab w:val="left" w:pos="360"/>
        </w:tabs>
        <w:snapToGrid w:val="0"/>
        <w:spacing w:line="360" w:lineRule="auto"/>
        <w:ind w:left="357" w:hanging="357"/>
        <w:outlineLvl w:val="1"/>
        <w:rPr>
          <w:sz w:val="24"/>
        </w:rPr>
      </w:pPr>
      <w:r>
        <w:rPr>
          <w:sz w:val="24"/>
        </w:rPr>
        <w:t>现场考察、开标前答疑会</w:t>
      </w:r>
    </w:p>
    <w:p>
      <w:pPr>
        <w:numPr>
          <w:ilvl w:val="1"/>
          <w:numId w:val="1"/>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2" w:name="_Toc151190149"/>
      <w:bookmarkStart w:id="143" w:name="_Toc305158790"/>
      <w:bookmarkStart w:id="144" w:name="_Toc150509273"/>
      <w:bookmarkStart w:id="145" w:name="_Toc226965712"/>
      <w:bookmarkStart w:id="146" w:name="_Toc142311024"/>
      <w:bookmarkStart w:id="147" w:name="_Toc150480760"/>
      <w:bookmarkStart w:id="148" w:name="_Toc265228360"/>
      <w:bookmarkStart w:id="149" w:name="_Toc151193836"/>
      <w:bookmarkStart w:id="150" w:name="_Toc305158864"/>
      <w:bookmarkStart w:id="151" w:name="_Toc264969212"/>
      <w:bookmarkStart w:id="152" w:name="_Toc151193910"/>
      <w:bookmarkStart w:id="153" w:name="_Toc226965795"/>
      <w:bookmarkStart w:id="154" w:name="_Toc127151522"/>
      <w:bookmarkStart w:id="155" w:name="_Toc151193764"/>
      <w:bookmarkStart w:id="156" w:name="_Toc150774622"/>
      <w:bookmarkStart w:id="157" w:name="_Toc226337218"/>
      <w:bookmarkStart w:id="158" w:name="_Toc226309766"/>
      <w:bookmarkStart w:id="159" w:name="_Toc520356146"/>
      <w:bookmarkStart w:id="160" w:name="_Toc151193620"/>
      <w:bookmarkStart w:id="161" w:name="_Toc195842887"/>
      <w:bookmarkStart w:id="162" w:name="_Toc150774727"/>
      <w:bookmarkStart w:id="163" w:name="_Toc151193692"/>
    </w:p>
    <w:p>
      <w:pPr>
        <w:numPr>
          <w:ilvl w:val="1"/>
          <w:numId w:val="1"/>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pPr>
        <w:numPr>
          <w:ilvl w:val="0"/>
          <w:numId w:val="1"/>
        </w:numPr>
        <w:tabs>
          <w:tab w:val="left" w:pos="360"/>
        </w:tabs>
        <w:snapToGrid w:val="0"/>
        <w:spacing w:line="360" w:lineRule="auto"/>
        <w:ind w:left="357" w:hanging="357"/>
        <w:outlineLvl w:val="1"/>
        <w:rPr>
          <w:sz w:val="24"/>
        </w:rPr>
      </w:pPr>
      <w:r>
        <w:rPr>
          <w:sz w:val="24"/>
        </w:rPr>
        <w:t>样品</w:t>
      </w:r>
    </w:p>
    <w:p>
      <w:pPr>
        <w:numPr>
          <w:ilvl w:val="1"/>
          <w:numId w:val="1"/>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pPr>
        <w:numPr>
          <w:ilvl w:val="1"/>
          <w:numId w:val="1"/>
        </w:numPr>
        <w:tabs>
          <w:tab w:val="left" w:pos="1080"/>
          <w:tab w:val="left" w:pos="2014"/>
        </w:tabs>
        <w:snapToGrid w:val="0"/>
        <w:spacing w:line="360" w:lineRule="auto"/>
        <w:ind w:left="1080" w:hanging="720"/>
        <w:rPr>
          <w:sz w:val="24"/>
        </w:rPr>
      </w:pPr>
      <w:r>
        <w:rPr>
          <w:sz w:val="24"/>
        </w:rPr>
        <w:t>样品的评审方法以及评审标准等内容见第四章《评标方法和评标标准》。</w:t>
      </w:r>
    </w:p>
    <w:p>
      <w:pPr>
        <w:numPr>
          <w:ilvl w:val="0"/>
          <w:numId w:val="1"/>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1"/>
        </w:numPr>
        <w:tabs>
          <w:tab w:val="left" w:pos="1080"/>
          <w:tab w:val="left" w:pos="2014"/>
        </w:tabs>
        <w:snapToGrid w:val="0"/>
        <w:spacing w:line="360" w:lineRule="auto"/>
        <w:ind w:left="1080" w:hanging="720"/>
        <w:rPr>
          <w:sz w:val="24"/>
        </w:rPr>
      </w:pPr>
      <w:r>
        <w:rPr>
          <w:sz w:val="24"/>
        </w:rPr>
        <w:t>进口产品</w:t>
      </w:r>
    </w:p>
    <w:p>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1"/>
        </w:numPr>
        <w:tabs>
          <w:tab w:val="left" w:pos="2014"/>
        </w:tabs>
        <w:snapToGrid w:val="0"/>
        <w:spacing w:line="360" w:lineRule="auto"/>
        <w:rPr>
          <w:sz w:val="24"/>
        </w:rPr>
      </w:pPr>
      <w:r>
        <w:rPr>
          <w:sz w:val="24"/>
        </w:rPr>
        <w:t>本项目是否接受进口产品见第五章《采购需求》。</w:t>
      </w:r>
    </w:p>
    <w:p>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1"/>
        </w:numPr>
        <w:snapToGrid w:val="0"/>
        <w:spacing w:line="360" w:lineRule="auto"/>
        <w:rPr>
          <w:sz w:val="24"/>
        </w:rPr>
      </w:pPr>
      <w:r>
        <w:rPr>
          <w:sz w:val="24"/>
        </w:rPr>
        <w:t>中小企业定义：</w:t>
      </w:r>
    </w:p>
    <w:p>
      <w:pPr>
        <w:pStyle w:val="120"/>
        <w:numPr>
          <w:ilvl w:val="0"/>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20"/>
        <w:numPr>
          <w:ilvl w:val="0"/>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20"/>
        <w:numPr>
          <w:ilvl w:val="0"/>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20"/>
        <w:numPr>
          <w:ilvl w:val="0"/>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20"/>
        <w:numPr>
          <w:ilvl w:val="0"/>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20"/>
        <w:numPr>
          <w:ilvl w:val="1"/>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20"/>
        <w:numPr>
          <w:ilvl w:val="1"/>
          <w:numId w:val="2"/>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120"/>
        <w:numPr>
          <w:ilvl w:val="2"/>
          <w:numId w:val="2"/>
        </w:numPr>
        <w:tabs>
          <w:tab w:val="left" w:pos="2035"/>
          <w:tab w:val="left" w:pos="2977"/>
        </w:tabs>
        <w:snapToGrid w:val="0"/>
        <w:spacing w:line="360" w:lineRule="auto"/>
        <w:ind w:firstLineChars="0"/>
        <w:rPr>
          <w:rFonts w:ascii="Times New Roman" w:hAnsi="Times New Roman"/>
          <w:vanish/>
          <w:color w:val="000000"/>
          <w:sz w:val="24"/>
          <w:szCs w:val="24"/>
        </w:rPr>
      </w:pP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pPr>
        <w:numPr>
          <w:ilvl w:val="3"/>
          <w:numId w:val="2"/>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2"/>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pPr>
        <w:numPr>
          <w:ilvl w:val="2"/>
          <w:numId w:val="1"/>
        </w:numPr>
        <w:snapToGrid w:val="0"/>
        <w:spacing w:line="360" w:lineRule="auto"/>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
        </w:numPr>
        <w:snapToGrid w:val="0"/>
        <w:spacing w:line="360" w:lineRule="auto"/>
        <w:rPr>
          <w:sz w:val="24"/>
        </w:rPr>
      </w:pPr>
      <w:r>
        <w:rPr>
          <w:sz w:val="24"/>
        </w:rPr>
        <w:t>残疾人福利单位定义：享受政府采购支持政策的残疾人福利性单位应当同时满足以下条件：</w:t>
      </w:r>
    </w:p>
    <w:p>
      <w:pPr>
        <w:pStyle w:val="120"/>
        <w:numPr>
          <w:ilvl w:val="2"/>
          <w:numId w:val="2"/>
        </w:numPr>
        <w:tabs>
          <w:tab w:val="left" w:pos="2035"/>
          <w:tab w:val="left" w:pos="2977"/>
        </w:tabs>
        <w:snapToGrid w:val="0"/>
        <w:spacing w:line="360" w:lineRule="auto"/>
        <w:ind w:firstLineChars="0"/>
        <w:rPr>
          <w:rFonts w:ascii="Times New Roman" w:hAnsi="Times New Roman"/>
          <w:vanish/>
          <w:color w:val="000000"/>
          <w:sz w:val="24"/>
          <w:szCs w:val="24"/>
        </w:rPr>
      </w:pPr>
    </w:p>
    <w:p>
      <w:pPr>
        <w:pStyle w:val="120"/>
        <w:numPr>
          <w:ilvl w:val="2"/>
          <w:numId w:val="2"/>
        </w:numPr>
        <w:tabs>
          <w:tab w:val="left" w:pos="2035"/>
          <w:tab w:val="left" w:pos="2977"/>
        </w:tabs>
        <w:snapToGrid w:val="0"/>
        <w:spacing w:line="360" w:lineRule="auto"/>
        <w:ind w:firstLineChars="0"/>
        <w:rPr>
          <w:rFonts w:ascii="Times New Roman" w:hAnsi="Times New Roman"/>
          <w:vanish/>
          <w:color w:val="000000"/>
          <w:sz w:val="24"/>
          <w:szCs w:val="24"/>
        </w:rPr>
      </w:pP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
        </w:numPr>
        <w:snapToGrid w:val="0"/>
        <w:spacing w:line="360" w:lineRule="auto"/>
        <w:rPr>
          <w:sz w:val="24"/>
        </w:rPr>
      </w:pPr>
      <w:r>
        <w:rPr>
          <w:sz w:val="24"/>
        </w:rPr>
        <w:t>本项目是否专门面向中小企业预留采购份额见第一章《投标邀请》。</w:t>
      </w:r>
    </w:p>
    <w:p>
      <w:pPr>
        <w:numPr>
          <w:ilvl w:val="2"/>
          <w:numId w:val="1"/>
        </w:numPr>
        <w:snapToGrid w:val="0"/>
        <w:spacing w:line="360" w:lineRule="auto"/>
        <w:rPr>
          <w:sz w:val="24"/>
        </w:rPr>
      </w:pPr>
      <w:r>
        <w:rPr>
          <w:sz w:val="24"/>
        </w:rPr>
        <w:t>采购标的对应的中小企业划分标准所属行业见《投标人须知资料表》。</w:t>
      </w:r>
    </w:p>
    <w:p>
      <w:pPr>
        <w:numPr>
          <w:ilvl w:val="2"/>
          <w:numId w:val="1"/>
        </w:numPr>
        <w:snapToGrid w:val="0"/>
        <w:spacing w:line="360" w:lineRule="auto"/>
        <w:rPr>
          <w:sz w:val="24"/>
        </w:rPr>
      </w:pPr>
      <w:r>
        <w:rPr>
          <w:sz w:val="24"/>
        </w:rPr>
        <w:t>小微企业价格评审优惠的政策调整：见第四章《评标方法和评标标准》。</w:t>
      </w:r>
    </w:p>
    <w:p>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pPr>
        <w:numPr>
          <w:ilvl w:val="1"/>
          <w:numId w:val="1"/>
        </w:numPr>
        <w:tabs>
          <w:tab w:val="left" w:pos="1080"/>
          <w:tab w:val="left" w:pos="2014"/>
        </w:tabs>
        <w:snapToGrid w:val="0"/>
        <w:spacing w:line="360" w:lineRule="auto"/>
        <w:ind w:left="1080" w:hanging="720"/>
        <w:rPr>
          <w:sz w:val="24"/>
        </w:rPr>
      </w:pPr>
      <w:r>
        <w:rPr>
          <w:sz w:val="24"/>
        </w:rPr>
        <w:t>支持乡村产业振兴管理</w:t>
      </w:r>
    </w:p>
    <w:p>
      <w:pPr>
        <w:numPr>
          <w:ilvl w:val="2"/>
          <w:numId w:val="1"/>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为落实《关于运用政府采购政策支持乡村产业振兴的通知》（财库〔2021〕19号）有关要求，做好支持脱贫攻坚工作，本项目采购活动中对于支持乡村振兴管理的相关要求见第五章《采购需求》（如涉及）。</w:t>
      </w:r>
    </w:p>
    <w:p>
      <w:pPr>
        <w:numPr>
          <w:ilvl w:val="1"/>
          <w:numId w:val="1"/>
        </w:numPr>
        <w:tabs>
          <w:tab w:val="left" w:pos="1080"/>
          <w:tab w:val="left" w:pos="2014"/>
        </w:tabs>
        <w:snapToGrid w:val="0"/>
        <w:spacing w:line="360" w:lineRule="auto"/>
        <w:ind w:left="1080" w:hanging="720"/>
        <w:rPr>
          <w:sz w:val="24"/>
        </w:rPr>
      </w:pPr>
      <w:r>
        <w:rPr>
          <w:sz w:val="24"/>
        </w:rPr>
        <w:t>正版软件</w:t>
      </w:r>
    </w:p>
    <w:p>
      <w:pPr>
        <w:numPr>
          <w:ilvl w:val="2"/>
          <w:numId w:val="1"/>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1"/>
        </w:numPr>
        <w:tabs>
          <w:tab w:val="left" w:pos="1080"/>
          <w:tab w:val="left" w:pos="2014"/>
        </w:tabs>
        <w:snapToGrid w:val="0"/>
        <w:spacing w:line="360" w:lineRule="auto"/>
        <w:ind w:left="1080" w:hanging="720"/>
        <w:rPr>
          <w:sz w:val="24"/>
        </w:rPr>
      </w:pPr>
      <w:r>
        <w:rPr>
          <w:sz w:val="24"/>
        </w:rPr>
        <w:t>信息安全产品</w:t>
      </w:r>
    </w:p>
    <w:p>
      <w:pPr>
        <w:numPr>
          <w:ilvl w:val="2"/>
          <w:numId w:val="1"/>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投标无效</w:t>
      </w:r>
      <w:r>
        <w:rPr>
          <w:sz w:val="24"/>
        </w:rPr>
        <w:t>。关于信息安全相关规定依据《关于信息安全产品实施政府采购的通知》（财库〔2010〕48 号）。</w:t>
      </w:r>
    </w:p>
    <w:p>
      <w:pPr>
        <w:numPr>
          <w:ilvl w:val="1"/>
          <w:numId w:val="1"/>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1"/>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pPr>
        <w:numPr>
          <w:ilvl w:val="0"/>
          <w:numId w:val="1"/>
        </w:numPr>
        <w:tabs>
          <w:tab w:val="left" w:pos="360"/>
        </w:tabs>
        <w:snapToGrid w:val="0"/>
        <w:spacing w:line="360" w:lineRule="auto"/>
        <w:ind w:left="357" w:hanging="357"/>
        <w:outlineLvl w:val="1"/>
        <w:rPr>
          <w:sz w:val="24"/>
        </w:rPr>
      </w:pPr>
      <w:r>
        <w:rPr>
          <w:sz w:val="24"/>
        </w:rPr>
        <w:t>投标费用</w:t>
      </w:r>
    </w:p>
    <w:p>
      <w:pPr>
        <w:numPr>
          <w:ilvl w:val="1"/>
          <w:numId w:val="1"/>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sz w:val="28"/>
        </w:rPr>
      </w:pPr>
      <w:bookmarkStart w:id="164" w:name="_1.8_计量单位"/>
      <w:bookmarkEnd w:id="164"/>
    </w:p>
    <w:p>
      <w:pPr>
        <w:pStyle w:val="4"/>
        <w:spacing w:before="0" w:line="360" w:lineRule="auto"/>
        <w:rPr>
          <w:rFonts w:ascii="Times New Roman" w:hAnsi="Times New Roman" w:eastAsia="宋体"/>
          <w:sz w:val="28"/>
        </w:rPr>
      </w:pPr>
      <w:r>
        <w:rPr>
          <w:rFonts w:ascii="Times New Roman" w:hAnsi="Times New Roman" w:eastAsia="宋体"/>
          <w:sz w:val="28"/>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numPr>
          <w:ilvl w:val="0"/>
          <w:numId w:val="1"/>
        </w:numPr>
        <w:tabs>
          <w:tab w:val="left" w:pos="360"/>
        </w:tabs>
        <w:snapToGrid w:val="0"/>
        <w:spacing w:line="360" w:lineRule="auto"/>
        <w:ind w:left="357" w:hanging="357"/>
        <w:outlineLvl w:val="1"/>
        <w:rPr>
          <w:sz w:val="24"/>
        </w:rPr>
      </w:pPr>
      <w:bookmarkStart w:id="165" w:name="_Toc164608637"/>
      <w:bookmarkStart w:id="166" w:name="_Toc226965713"/>
      <w:bookmarkStart w:id="167" w:name="_Toc150509274"/>
      <w:bookmarkStart w:id="168" w:name="_Toc265228361"/>
      <w:bookmarkStart w:id="169" w:name="_Toc142311025"/>
      <w:bookmarkStart w:id="170" w:name="_Toc305158865"/>
      <w:bookmarkStart w:id="171" w:name="_Toc127151724"/>
      <w:bookmarkStart w:id="172" w:name="_Toc151193621"/>
      <w:bookmarkStart w:id="173" w:name="_Toc520356147"/>
      <w:bookmarkStart w:id="174" w:name="_Toc195842888"/>
      <w:bookmarkStart w:id="175" w:name="_Toc164608792"/>
      <w:bookmarkStart w:id="176" w:name="_Toc264969213"/>
      <w:bookmarkStart w:id="177" w:name="_Toc226309767"/>
      <w:bookmarkStart w:id="178" w:name="_Toc151193837"/>
      <w:bookmarkStart w:id="179" w:name="_Toc149720816"/>
      <w:bookmarkStart w:id="180" w:name="_Toc164229218"/>
      <w:bookmarkStart w:id="181" w:name="_Toc226965796"/>
      <w:bookmarkStart w:id="182" w:name="_Toc151193911"/>
      <w:bookmarkStart w:id="183" w:name="_Toc305158791"/>
      <w:bookmarkStart w:id="184" w:name="_Toc151190150"/>
      <w:bookmarkStart w:id="185" w:name="_Toc127151523"/>
      <w:bookmarkStart w:id="186" w:name="_Toc164351617"/>
      <w:bookmarkStart w:id="187" w:name="_Toc127161437"/>
      <w:bookmarkStart w:id="188" w:name="_Toc164229364"/>
      <w:bookmarkStart w:id="189" w:name="_Toc226337219"/>
      <w:bookmarkStart w:id="190" w:name="_Toc150774728"/>
      <w:bookmarkStart w:id="191" w:name="_Toc150480761"/>
      <w:bookmarkStart w:id="192" w:name="_Toc151193693"/>
      <w:bookmarkStart w:id="193" w:name="_Toc150774623"/>
      <w:bookmarkStart w:id="194" w:name="_Toc151193765"/>
      <w:r>
        <w:rPr>
          <w:sz w:val="24"/>
        </w:rPr>
        <w:t>招标文件构</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sz w:val="24"/>
        </w:rPr>
        <w:t>成</w:t>
      </w:r>
    </w:p>
    <w:p>
      <w:pPr>
        <w:numPr>
          <w:ilvl w:val="1"/>
          <w:numId w:val="1"/>
        </w:numPr>
        <w:tabs>
          <w:tab w:val="left" w:pos="1080"/>
          <w:tab w:val="left" w:pos="2014"/>
        </w:tabs>
        <w:snapToGrid w:val="0"/>
        <w:spacing w:line="360" w:lineRule="auto"/>
        <w:ind w:left="1080" w:hanging="720"/>
        <w:rPr>
          <w:sz w:val="24"/>
        </w:rPr>
      </w:pPr>
      <w:r>
        <w:rPr>
          <w:sz w:val="24"/>
        </w:rPr>
        <w:t>招标文件包括以下部分：</w:t>
      </w:r>
    </w:p>
    <w:p>
      <w:pPr>
        <w:numPr>
          <w:ilvl w:val="0"/>
          <w:numId w:val="3"/>
        </w:numPr>
        <w:tabs>
          <w:tab w:val="left" w:pos="1980"/>
          <w:tab w:val="left" w:pos="2520"/>
        </w:tabs>
        <w:snapToGrid w:val="0"/>
        <w:spacing w:line="360" w:lineRule="auto"/>
        <w:ind w:left="1440" w:firstLine="5"/>
        <w:rPr>
          <w:sz w:val="24"/>
        </w:rPr>
      </w:pPr>
      <w:r>
        <w:rPr>
          <w:sz w:val="24"/>
        </w:rPr>
        <w:t>投标邀请</w:t>
      </w:r>
    </w:p>
    <w:p>
      <w:pPr>
        <w:numPr>
          <w:ilvl w:val="0"/>
          <w:numId w:val="3"/>
        </w:numPr>
        <w:tabs>
          <w:tab w:val="left" w:pos="1980"/>
          <w:tab w:val="left" w:pos="2520"/>
        </w:tabs>
        <w:snapToGrid w:val="0"/>
        <w:spacing w:line="360" w:lineRule="auto"/>
        <w:ind w:left="1440" w:firstLine="5"/>
        <w:rPr>
          <w:sz w:val="24"/>
        </w:rPr>
      </w:pPr>
      <w:r>
        <w:rPr>
          <w:sz w:val="24"/>
        </w:rPr>
        <w:t>投标人须知</w:t>
      </w:r>
    </w:p>
    <w:p>
      <w:pPr>
        <w:numPr>
          <w:ilvl w:val="0"/>
          <w:numId w:val="3"/>
        </w:numPr>
        <w:tabs>
          <w:tab w:val="left" w:pos="1980"/>
          <w:tab w:val="left" w:pos="2520"/>
        </w:tabs>
        <w:snapToGrid w:val="0"/>
        <w:spacing w:line="360" w:lineRule="auto"/>
        <w:ind w:left="1440" w:firstLine="5"/>
        <w:rPr>
          <w:sz w:val="24"/>
        </w:rPr>
      </w:pPr>
      <w:r>
        <w:rPr>
          <w:sz w:val="24"/>
        </w:rPr>
        <w:t>资格审查</w:t>
      </w:r>
    </w:p>
    <w:p>
      <w:pPr>
        <w:numPr>
          <w:ilvl w:val="0"/>
          <w:numId w:val="3"/>
        </w:numPr>
        <w:tabs>
          <w:tab w:val="left" w:pos="1980"/>
          <w:tab w:val="left" w:pos="2520"/>
        </w:tabs>
        <w:snapToGrid w:val="0"/>
        <w:spacing w:line="360" w:lineRule="auto"/>
        <w:ind w:left="1440" w:firstLine="5"/>
        <w:rPr>
          <w:sz w:val="24"/>
        </w:rPr>
      </w:pPr>
      <w:r>
        <w:rPr>
          <w:sz w:val="24"/>
        </w:rPr>
        <w:t>评标程序、评标方法和评标标准</w:t>
      </w:r>
    </w:p>
    <w:p>
      <w:pPr>
        <w:numPr>
          <w:ilvl w:val="0"/>
          <w:numId w:val="3"/>
        </w:numPr>
        <w:tabs>
          <w:tab w:val="left" w:pos="1980"/>
          <w:tab w:val="left" w:pos="2520"/>
        </w:tabs>
        <w:snapToGrid w:val="0"/>
        <w:spacing w:line="360" w:lineRule="auto"/>
        <w:ind w:left="1440" w:firstLine="5"/>
        <w:rPr>
          <w:sz w:val="24"/>
        </w:rPr>
      </w:pPr>
      <w:r>
        <w:rPr>
          <w:sz w:val="24"/>
        </w:rPr>
        <w:t>采购需求</w:t>
      </w:r>
    </w:p>
    <w:p>
      <w:pPr>
        <w:numPr>
          <w:ilvl w:val="0"/>
          <w:numId w:val="3"/>
        </w:numPr>
        <w:tabs>
          <w:tab w:val="left" w:pos="1980"/>
          <w:tab w:val="left" w:pos="2520"/>
        </w:tabs>
        <w:snapToGrid w:val="0"/>
        <w:spacing w:line="360" w:lineRule="auto"/>
        <w:ind w:left="1440" w:firstLine="5"/>
        <w:rPr>
          <w:sz w:val="24"/>
        </w:rPr>
      </w:pPr>
      <w:r>
        <w:rPr>
          <w:sz w:val="24"/>
        </w:rPr>
        <w:t>拟签订的合同文本</w:t>
      </w:r>
    </w:p>
    <w:p>
      <w:pPr>
        <w:numPr>
          <w:ilvl w:val="0"/>
          <w:numId w:val="3"/>
        </w:numPr>
        <w:tabs>
          <w:tab w:val="left" w:pos="1980"/>
          <w:tab w:val="left" w:pos="2520"/>
        </w:tabs>
        <w:snapToGrid w:val="0"/>
        <w:spacing w:line="360" w:lineRule="auto"/>
        <w:ind w:left="1440" w:firstLine="5"/>
        <w:rPr>
          <w:sz w:val="24"/>
        </w:rPr>
      </w:pPr>
      <w:r>
        <w:rPr>
          <w:sz w:val="24"/>
        </w:rPr>
        <w:t>投标文件格式</w:t>
      </w:r>
    </w:p>
    <w:p>
      <w:pPr>
        <w:numPr>
          <w:ilvl w:val="1"/>
          <w:numId w:val="1"/>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pPr>
        <w:numPr>
          <w:ilvl w:val="0"/>
          <w:numId w:val="1"/>
        </w:numPr>
        <w:tabs>
          <w:tab w:val="left" w:pos="1080"/>
          <w:tab w:val="left" w:pos="2014"/>
        </w:tabs>
        <w:snapToGrid w:val="0"/>
        <w:spacing w:line="360" w:lineRule="auto"/>
        <w:ind w:left="357" w:hanging="357"/>
        <w:outlineLvl w:val="1"/>
        <w:rPr>
          <w:sz w:val="24"/>
        </w:rPr>
      </w:pPr>
      <w:r>
        <w:rPr>
          <w:sz w:val="24"/>
        </w:rPr>
        <w:t>对招标文件的澄清或修改</w:t>
      </w:r>
    </w:p>
    <w:p>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sz w:val="28"/>
        </w:rPr>
      </w:pPr>
      <w:bookmarkStart w:id="195" w:name="_Toc516367020"/>
      <w:bookmarkStart w:id="196" w:name="_Toc151193840"/>
      <w:bookmarkStart w:id="197" w:name="_Toc150509277"/>
      <w:bookmarkStart w:id="198" w:name="_Toc127151526"/>
      <w:bookmarkStart w:id="199" w:name="_Toc150774626"/>
      <w:bookmarkStart w:id="200" w:name="_Toc226965799"/>
      <w:bookmarkStart w:id="201" w:name="_Toc142311028"/>
      <w:bookmarkStart w:id="202" w:name="_Toc226337222"/>
      <w:bookmarkStart w:id="203" w:name="_Toc151193914"/>
      <w:bookmarkStart w:id="204" w:name="_Toc305158794"/>
      <w:bookmarkStart w:id="205" w:name="_Toc226309770"/>
      <w:bookmarkStart w:id="206" w:name="_Toc520356150"/>
      <w:bookmarkStart w:id="207" w:name="_Toc151193624"/>
      <w:bookmarkStart w:id="208" w:name="_Toc150480764"/>
      <w:bookmarkStart w:id="209" w:name="_Toc264969216"/>
      <w:bookmarkStart w:id="210" w:name="_Toc150774731"/>
      <w:bookmarkStart w:id="211" w:name="_Toc151193768"/>
      <w:bookmarkStart w:id="212" w:name="_Toc226965716"/>
      <w:bookmarkStart w:id="213" w:name="_Toc265228364"/>
      <w:bookmarkStart w:id="214" w:name="_Toc151193696"/>
      <w:bookmarkStart w:id="215" w:name="_Toc305158868"/>
      <w:bookmarkStart w:id="216" w:name="_Toc195842891"/>
      <w:bookmarkStart w:id="217" w:name="_Toc151190153"/>
    </w:p>
    <w:p>
      <w:pPr>
        <w:pStyle w:val="4"/>
        <w:spacing w:before="0" w:line="360" w:lineRule="auto"/>
        <w:rPr>
          <w:rFonts w:ascii="Times New Roman" w:hAnsi="Times New Roman" w:eastAsia="宋体"/>
          <w:sz w:val="28"/>
        </w:rPr>
      </w:pPr>
      <w:r>
        <w:rPr>
          <w:rFonts w:ascii="Times New Roman" w:hAnsi="Times New Roman" w:eastAsia="宋体"/>
          <w:sz w:val="28"/>
        </w:rPr>
        <w:t>三   投标文件</w:t>
      </w:r>
      <w:bookmarkEnd w:id="195"/>
      <w:r>
        <w:rPr>
          <w:rFonts w:ascii="Times New Roman" w:hAnsi="Times New Roman" w:eastAsia="宋体"/>
          <w:sz w:val="28"/>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numPr>
          <w:ilvl w:val="0"/>
          <w:numId w:val="1"/>
        </w:numPr>
        <w:tabs>
          <w:tab w:val="left" w:pos="360"/>
        </w:tabs>
        <w:snapToGrid w:val="0"/>
        <w:spacing w:line="360" w:lineRule="auto"/>
        <w:ind w:left="357" w:hanging="357"/>
        <w:outlineLvl w:val="1"/>
        <w:rPr>
          <w:sz w:val="24"/>
        </w:rPr>
      </w:pPr>
      <w:bookmarkStart w:id="218" w:name="_Toc151190154"/>
      <w:bookmarkStart w:id="219" w:name="_Toc149720820"/>
      <w:bookmarkStart w:id="220" w:name="_Toc150774732"/>
      <w:bookmarkStart w:id="221" w:name="_Toc164229222"/>
      <w:bookmarkStart w:id="222" w:name="_Toc127161441"/>
      <w:bookmarkStart w:id="223" w:name="_Toc195842892"/>
      <w:bookmarkStart w:id="224" w:name="_Toc127151728"/>
      <w:bookmarkStart w:id="225" w:name="_Toc520356151"/>
      <w:bookmarkStart w:id="226" w:name="_Toc226309771"/>
      <w:bookmarkStart w:id="227" w:name="_Toc164608796"/>
      <w:bookmarkStart w:id="228" w:name="_Toc305158795"/>
      <w:bookmarkStart w:id="229" w:name="_Toc151193697"/>
      <w:bookmarkStart w:id="230" w:name="_Toc142311029"/>
      <w:bookmarkStart w:id="231" w:name="_Toc265228365"/>
      <w:bookmarkStart w:id="232" w:name="_Toc264969217"/>
      <w:bookmarkStart w:id="233" w:name="_Toc164229368"/>
      <w:bookmarkStart w:id="234" w:name="_Toc127151527"/>
      <w:bookmarkStart w:id="235" w:name="_Toc226965717"/>
      <w:bookmarkStart w:id="236" w:name="_Toc150774627"/>
      <w:bookmarkStart w:id="237" w:name="_Toc305158869"/>
      <w:bookmarkStart w:id="238" w:name="_Toc151193915"/>
      <w:bookmarkStart w:id="239" w:name="_Toc516367021"/>
      <w:bookmarkStart w:id="240" w:name="_Toc164351621"/>
      <w:bookmarkStart w:id="241" w:name="_Toc151193841"/>
      <w:bookmarkStart w:id="242" w:name="_Toc150509278"/>
      <w:bookmarkStart w:id="243" w:name="_Toc164608641"/>
      <w:bookmarkStart w:id="244" w:name="_Toc226337223"/>
      <w:bookmarkStart w:id="245" w:name="_Toc151193769"/>
      <w:bookmarkStart w:id="246" w:name="_Toc226965800"/>
      <w:bookmarkStart w:id="247" w:name="_Toc150480765"/>
      <w:bookmarkStart w:id="248" w:name="_Toc151193625"/>
      <w:r>
        <w:rPr>
          <w:sz w:val="24"/>
        </w:rPr>
        <w:t>投标范围、投标文件中计量单位的使用</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sz w:val="24"/>
        </w:rPr>
        <w:t>及投标语言</w:t>
      </w:r>
    </w:p>
    <w:p>
      <w:pPr>
        <w:numPr>
          <w:ilvl w:val="1"/>
          <w:numId w:val="1"/>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pPr>
        <w:numPr>
          <w:ilvl w:val="1"/>
          <w:numId w:val="1"/>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pPr>
        <w:numPr>
          <w:ilvl w:val="1"/>
          <w:numId w:val="1"/>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1"/>
        </w:numPr>
        <w:tabs>
          <w:tab w:val="left" w:pos="360"/>
        </w:tabs>
        <w:snapToGrid w:val="0"/>
        <w:spacing w:line="360" w:lineRule="auto"/>
        <w:ind w:left="357" w:hanging="357"/>
        <w:outlineLvl w:val="1"/>
        <w:rPr>
          <w:sz w:val="24"/>
        </w:rPr>
      </w:pPr>
      <w:bookmarkStart w:id="249" w:name="_Ref467306195"/>
      <w:bookmarkStart w:id="250" w:name="_Toc516367022"/>
      <w:bookmarkStart w:id="251" w:name="_Ref467306676"/>
      <w:bookmarkStart w:id="252" w:name="_Toc164608797"/>
      <w:bookmarkStart w:id="253" w:name="_Toc226337224"/>
      <w:bookmarkStart w:id="254" w:name="_Toc151190155"/>
      <w:bookmarkStart w:id="255" w:name="_Toc226309772"/>
      <w:bookmarkStart w:id="256" w:name="_Toc150774628"/>
      <w:bookmarkStart w:id="257" w:name="_Toc265228366"/>
      <w:bookmarkStart w:id="258" w:name="_Toc150480766"/>
      <w:bookmarkStart w:id="259" w:name="_Toc127161442"/>
      <w:bookmarkStart w:id="260" w:name="_Toc149720821"/>
      <w:bookmarkStart w:id="261" w:name="_Toc195842893"/>
      <w:bookmarkStart w:id="262" w:name="_Toc142311030"/>
      <w:bookmarkStart w:id="263" w:name="_Toc151193626"/>
      <w:bookmarkStart w:id="264" w:name="_Toc305158796"/>
      <w:bookmarkStart w:id="265" w:name="_Toc151193916"/>
      <w:bookmarkStart w:id="266" w:name="_Toc226965801"/>
      <w:bookmarkStart w:id="267" w:name="_Toc151193770"/>
      <w:bookmarkStart w:id="268" w:name="_Toc164351622"/>
      <w:bookmarkStart w:id="269" w:name="_Toc150774733"/>
      <w:bookmarkStart w:id="270" w:name="_Toc127151528"/>
      <w:bookmarkStart w:id="271" w:name="_Toc127151729"/>
      <w:bookmarkStart w:id="272" w:name="_Toc150509279"/>
      <w:bookmarkStart w:id="273" w:name="_Toc151193842"/>
      <w:bookmarkStart w:id="274" w:name="_Toc520356152"/>
      <w:bookmarkStart w:id="275" w:name="_Toc164229369"/>
      <w:bookmarkStart w:id="276" w:name="_Toc151193698"/>
      <w:bookmarkStart w:id="277" w:name="_Toc226965718"/>
      <w:bookmarkStart w:id="278" w:name="_Toc164229223"/>
      <w:bookmarkStart w:id="279" w:name="_Toc164608642"/>
      <w:bookmarkStart w:id="280" w:name="_Toc305158870"/>
      <w:bookmarkStart w:id="281" w:name="_Toc264969218"/>
      <w:r>
        <w:rPr>
          <w:sz w:val="24"/>
        </w:rPr>
        <w:t>投标文件</w:t>
      </w:r>
      <w:bookmarkEnd w:id="249"/>
      <w:bookmarkEnd w:id="250"/>
      <w:bookmarkEnd w:id="251"/>
      <w:r>
        <w:rPr>
          <w:sz w:val="24"/>
        </w:rPr>
        <w:t>构成</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numPr>
          <w:ilvl w:val="1"/>
          <w:numId w:val="1"/>
        </w:numPr>
        <w:tabs>
          <w:tab w:val="left" w:pos="1080"/>
          <w:tab w:val="left" w:pos="2014"/>
        </w:tabs>
        <w:snapToGrid w:val="0"/>
        <w:spacing w:line="360" w:lineRule="auto"/>
        <w:ind w:left="1077" w:hanging="720"/>
        <w:rPr>
          <w:sz w:val="24"/>
        </w:rPr>
      </w:pPr>
      <w:bookmarkStart w:id="282" w:name="_Ref467052588"/>
      <w:r>
        <w:rPr>
          <w:sz w:val="24"/>
        </w:rPr>
        <w:t>投标人应当按照招标文件的要求编制投标文件。投标文件应由《资格证明文件》、《商务技术文件》两部分构成。投标文件的部分格式要求，见第七章《投标文件格式》。</w:t>
      </w:r>
    </w:p>
    <w:p>
      <w:pPr>
        <w:numPr>
          <w:ilvl w:val="1"/>
          <w:numId w:val="1"/>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numPr>
          <w:ilvl w:val="1"/>
          <w:numId w:val="1"/>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pPr>
        <w:numPr>
          <w:ilvl w:val="1"/>
          <w:numId w:val="1"/>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1"/>
        </w:numPr>
        <w:tabs>
          <w:tab w:val="left" w:pos="1080"/>
          <w:tab w:val="left" w:pos="2014"/>
        </w:tabs>
        <w:snapToGrid w:val="0"/>
        <w:spacing w:line="360" w:lineRule="auto"/>
        <w:ind w:left="1077" w:hanging="720"/>
        <w:rPr>
          <w:sz w:val="24"/>
        </w:rPr>
      </w:pPr>
      <w:r>
        <w:rPr>
          <w:sz w:val="24"/>
        </w:rPr>
        <w:t>投标人认为应附的其他材料。</w:t>
      </w:r>
      <w:bookmarkEnd w:id="282"/>
    </w:p>
    <w:p>
      <w:pPr>
        <w:numPr>
          <w:ilvl w:val="0"/>
          <w:numId w:val="1"/>
        </w:numPr>
        <w:tabs>
          <w:tab w:val="left" w:pos="360"/>
        </w:tabs>
        <w:snapToGrid w:val="0"/>
        <w:spacing w:line="360" w:lineRule="auto"/>
        <w:ind w:left="357" w:hanging="357"/>
        <w:outlineLvl w:val="1"/>
        <w:rPr>
          <w:sz w:val="24"/>
        </w:rPr>
      </w:pPr>
      <w:bookmarkStart w:id="283" w:name="_Toc151190157"/>
      <w:bookmarkStart w:id="284" w:name="_Toc164229371"/>
      <w:bookmarkStart w:id="285" w:name="_Toc150480768"/>
      <w:bookmarkStart w:id="286" w:name="_Toc164229225"/>
      <w:bookmarkStart w:id="287" w:name="_Toc151193772"/>
      <w:bookmarkStart w:id="288" w:name="_Toc520356155"/>
      <w:bookmarkStart w:id="289" w:name="_Toc150774735"/>
      <w:bookmarkStart w:id="290" w:name="_Toc127161444"/>
      <w:bookmarkStart w:id="291" w:name="_Toc127151731"/>
      <w:bookmarkStart w:id="292" w:name="_Toc164351624"/>
      <w:bookmarkStart w:id="293" w:name="_Toc149720823"/>
      <w:bookmarkStart w:id="294" w:name="_Toc195842895"/>
      <w:bookmarkStart w:id="295" w:name="_Toc151193844"/>
      <w:bookmarkStart w:id="296" w:name="_Toc151193700"/>
      <w:bookmarkStart w:id="297" w:name="_Toc164608644"/>
      <w:bookmarkStart w:id="298" w:name="_Toc164608799"/>
      <w:bookmarkStart w:id="299" w:name="_Toc150774630"/>
      <w:bookmarkStart w:id="300" w:name="_Toc151193628"/>
      <w:bookmarkStart w:id="301" w:name="_Toc142311032"/>
      <w:bookmarkStart w:id="302" w:name="_Toc151193918"/>
      <w:bookmarkStart w:id="303" w:name="_Toc150509281"/>
      <w:bookmarkStart w:id="304" w:name="_Toc127151530"/>
      <w:r>
        <w:rPr>
          <w:sz w:val="24"/>
        </w:rPr>
        <w:t>投标报价</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numPr>
          <w:ilvl w:val="1"/>
          <w:numId w:val="1"/>
        </w:numPr>
        <w:tabs>
          <w:tab w:val="left" w:pos="1080"/>
          <w:tab w:val="left" w:pos="2014"/>
        </w:tabs>
        <w:snapToGrid w:val="0"/>
        <w:spacing w:line="360" w:lineRule="auto"/>
        <w:ind w:left="1077" w:hanging="720"/>
        <w:rPr>
          <w:sz w:val="24"/>
        </w:rPr>
      </w:pPr>
      <w:r>
        <w:rPr>
          <w:sz w:val="24"/>
        </w:rPr>
        <w:t>所有投标均以人民币报价。</w:t>
      </w:r>
    </w:p>
    <w:p>
      <w:pPr>
        <w:numPr>
          <w:ilvl w:val="1"/>
          <w:numId w:val="1"/>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w:t>
      </w:r>
      <w:r>
        <w:rPr>
          <w:rFonts w:hint="eastAsia"/>
          <w:sz w:val="24"/>
        </w:rPr>
        <w:t>投标人的报价应包括但不限于下列内容，《投标人须知资料表》中有特殊规定的，从其规定。</w:t>
      </w:r>
    </w:p>
    <w:p>
      <w:pPr>
        <w:numPr>
          <w:ilvl w:val="2"/>
          <w:numId w:val="1"/>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1"/>
        </w:numPr>
        <w:snapToGrid w:val="0"/>
        <w:spacing w:line="360" w:lineRule="auto"/>
        <w:rPr>
          <w:sz w:val="24"/>
        </w:rPr>
      </w:pPr>
      <w:r>
        <w:rPr>
          <w:sz w:val="24"/>
        </w:rPr>
        <w:t xml:space="preserve">按照招标文件要求完成本项目的全部相关服务费用。 </w:t>
      </w:r>
    </w:p>
    <w:p>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1"/>
        </w:numPr>
        <w:tabs>
          <w:tab w:val="left" w:pos="1080"/>
          <w:tab w:val="left" w:pos="2014"/>
        </w:tabs>
        <w:snapToGrid w:val="0"/>
        <w:spacing w:line="360" w:lineRule="auto"/>
        <w:ind w:left="1080" w:hanging="720"/>
        <w:rPr>
          <w:sz w:val="24"/>
        </w:rPr>
      </w:pPr>
      <w:r>
        <w:rPr>
          <w:sz w:val="24"/>
        </w:rPr>
        <w:t>投标人不能提供任何有选择性或可调整的报价，否则其</w:t>
      </w:r>
      <w:r>
        <w:rPr>
          <w:b/>
          <w:sz w:val="24"/>
        </w:rPr>
        <w:t>投标无效</w:t>
      </w:r>
      <w:r>
        <w:rPr>
          <w:sz w:val="24"/>
        </w:rPr>
        <w:t>。</w:t>
      </w:r>
    </w:p>
    <w:p>
      <w:pPr>
        <w:numPr>
          <w:ilvl w:val="0"/>
          <w:numId w:val="1"/>
        </w:numPr>
        <w:tabs>
          <w:tab w:val="left" w:pos="360"/>
        </w:tabs>
        <w:snapToGrid w:val="0"/>
        <w:spacing w:line="360" w:lineRule="auto"/>
        <w:ind w:left="357" w:hanging="357"/>
        <w:outlineLvl w:val="1"/>
        <w:rPr>
          <w:sz w:val="24"/>
        </w:rPr>
      </w:pPr>
      <w:bookmarkStart w:id="305" w:name="_Toc226965804"/>
      <w:bookmarkStart w:id="306" w:name="_Toc305158799"/>
      <w:bookmarkStart w:id="307" w:name="_Toc149720824"/>
      <w:bookmarkStart w:id="308" w:name="_Toc164608800"/>
      <w:bookmarkStart w:id="309" w:name="_Toc265228369"/>
      <w:bookmarkStart w:id="310" w:name="_Toc150774631"/>
      <w:bookmarkStart w:id="311" w:name="_Toc164229226"/>
      <w:bookmarkStart w:id="312" w:name="_Toc226309775"/>
      <w:bookmarkStart w:id="313" w:name="_Toc226965721"/>
      <w:bookmarkStart w:id="314" w:name="_Toc151193919"/>
      <w:bookmarkStart w:id="315" w:name="_Toc520356156"/>
      <w:bookmarkStart w:id="316" w:name="_Toc264969221"/>
      <w:bookmarkStart w:id="317" w:name="_Toc151193629"/>
      <w:bookmarkStart w:id="318" w:name="_Toc164351625"/>
      <w:bookmarkStart w:id="319" w:name="_Toc142311033"/>
      <w:bookmarkStart w:id="320" w:name="_Ref467306513"/>
      <w:bookmarkStart w:id="321" w:name="_Toc151193773"/>
      <w:bookmarkStart w:id="322" w:name="_Toc127161445"/>
      <w:bookmarkStart w:id="323" w:name="_Toc151193701"/>
      <w:bookmarkStart w:id="324" w:name="_Toc305158873"/>
      <w:bookmarkStart w:id="325" w:name="_Toc164229372"/>
      <w:bookmarkStart w:id="326" w:name="_Toc151190158"/>
      <w:bookmarkStart w:id="327" w:name="_Toc127151732"/>
      <w:bookmarkStart w:id="328" w:name="_Toc164608645"/>
      <w:bookmarkStart w:id="329" w:name="_Toc150480769"/>
      <w:bookmarkStart w:id="330" w:name="_Toc195842896"/>
      <w:bookmarkStart w:id="331" w:name="_Toc150774736"/>
      <w:bookmarkStart w:id="332" w:name="_Toc150509282"/>
      <w:bookmarkStart w:id="333" w:name="_Toc151193845"/>
      <w:bookmarkStart w:id="334" w:name="_Toc226337227"/>
      <w:bookmarkStart w:id="335" w:name="_Toc127151531"/>
      <w:r>
        <w:rPr>
          <w:sz w:val="24"/>
        </w:rPr>
        <w:t>投标保证金</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numPr>
          <w:ilvl w:val="1"/>
          <w:numId w:val="1"/>
        </w:numPr>
        <w:tabs>
          <w:tab w:val="left" w:pos="1080"/>
          <w:tab w:val="left" w:pos="2014"/>
        </w:tabs>
        <w:snapToGrid w:val="0"/>
        <w:spacing w:line="360" w:lineRule="auto"/>
        <w:ind w:left="1077" w:hanging="720"/>
        <w:rPr>
          <w:sz w:val="24"/>
        </w:rPr>
      </w:pPr>
      <w:bookmarkStart w:id="336" w:name="_Ref467306302"/>
      <w:r>
        <w:rPr>
          <w:sz w:val="24"/>
        </w:rPr>
        <w:t>投标人应按《投标人须知资料表》中规定的金额及要求交纳投标保证金</w:t>
      </w:r>
      <w:bookmarkEnd w:id="336"/>
      <w:r>
        <w:rPr>
          <w:sz w:val="24"/>
        </w:rPr>
        <w:t>，并作为其投标的一部分。</w:t>
      </w:r>
    </w:p>
    <w:p>
      <w:pPr>
        <w:numPr>
          <w:ilvl w:val="1"/>
          <w:numId w:val="1"/>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pPr>
        <w:numPr>
          <w:ilvl w:val="1"/>
          <w:numId w:val="1"/>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pPr>
        <w:numPr>
          <w:ilvl w:val="1"/>
          <w:numId w:val="1"/>
        </w:numPr>
        <w:tabs>
          <w:tab w:val="left" w:pos="1080"/>
          <w:tab w:val="left" w:pos="2014"/>
        </w:tabs>
        <w:snapToGrid w:val="0"/>
        <w:spacing w:line="360" w:lineRule="auto"/>
        <w:ind w:left="1077" w:hanging="720"/>
        <w:rPr>
          <w:sz w:val="24"/>
        </w:rPr>
      </w:pPr>
      <w:r>
        <w:rPr>
          <w:sz w:val="24"/>
        </w:rPr>
        <w:t>投标保证金（保函）有效期同投标有效期。</w:t>
      </w:r>
    </w:p>
    <w:p>
      <w:pPr>
        <w:numPr>
          <w:ilvl w:val="1"/>
          <w:numId w:val="1"/>
        </w:numPr>
        <w:tabs>
          <w:tab w:val="left" w:pos="1080"/>
          <w:tab w:val="left" w:pos="2014"/>
        </w:tabs>
        <w:snapToGrid w:val="0"/>
        <w:spacing w:line="360" w:lineRule="auto"/>
        <w:ind w:left="1077" w:hanging="720"/>
        <w:rPr>
          <w:sz w:val="24"/>
        </w:rPr>
      </w:pPr>
      <w:r>
        <w:rPr>
          <w:sz w:val="24"/>
        </w:rPr>
        <w:t>联合体投标的，可以由联合体中的一方或者共同提交投标保证金，以一方名义提交投标保证金的，对联合体各方均具有约束力。</w:t>
      </w:r>
    </w:p>
    <w:p>
      <w:pPr>
        <w:numPr>
          <w:ilvl w:val="1"/>
          <w:numId w:val="1"/>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保证金，经供应商同意后采购人、采购代理机构可以不再退还，但因投标人自身原因导致无法及时退还的除外：</w:t>
      </w:r>
    </w:p>
    <w:p>
      <w:pPr>
        <w:numPr>
          <w:ilvl w:val="2"/>
          <w:numId w:val="1"/>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pPr>
        <w:numPr>
          <w:ilvl w:val="2"/>
          <w:numId w:val="1"/>
        </w:numPr>
        <w:snapToGrid w:val="0"/>
        <w:spacing w:line="360" w:lineRule="auto"/>
        <w:rPr>
          <w:sz w:val="24"/>
        </w:rPr>
      </w:pPr>
      <w:r>
        <w:rPr>
          <w:sz w:val="24"/>
        </w:rPr>
        <w:t>中标人的投标保证金，自采购合同签订之日起5个工作日内退还中标人；</w:t>
      </w:r>
    </w:p>
    <w:p>
      <w:pPr>
        <w:numPr>
          <w:ilvl w:val="2"/>
          <w:numId w:val="1"/>
        </w:numPr>
        <w:snapToGrid w:val="0"/>
        <w:spacing w:line="360" w:lineRule="auto"/>
        <w:rPr>
          <w:sz w:val="24"/>
        </w:rPr>
      </w:pPr>
      <w:r>
        <w:rPr>
          <w:sz w:val="24"/>
        </w:rPr>
        <w:t>未中标投标人的投标保证金，自中标通知书发出之日起5个工作日内退还未中标人；</w:t>
      </w:r>
    </w:p>
    <w:p>
      <w:pPr>
        <w:numPr>
          <w:ilvl w:val="2"/>
          <w:numId w:val="1"/>
        </w:numPr>
        <w:snapToGrid w:val="0"/>
        <w:spacing w:line="360" w:lineRule="auto"/>
        <w:rPr>
          <w:sz w:val="24"/>
        </w:rPr>
      </w:pPr>
      <w:r>
        <w:rPr>
          <w:sz w:val="24"/>
        </w:rPr>
        <w:t>终止招标项目已经收取投标保证金的，自终止采购活动后5个工作日内退还已收取的投标保证金及其在银行产生的孳息。</w:t>
      </w:r>
    </w:p>
    <w:p>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pPr>
        <w:numPr>
          <w:ilvl w:val="2"/>
          <w:numId w:val="1"/>
        </w:numPr>
        <w:snapToGrid w:val="0"/>
        <w:spacing w:line="360" w:lineRule="auto"/>
        <w:rPr>
          <w:sz w:val="24"/>
        </w:rPr>
      </w:pPr>
      <w:r>
        <w:rPr>
          <w:sz w:val="24"/>
        </w:rPr>
        <w:t>投标有效期内投标人撤销投标文件的；</w:t>
      </w:r>
    </w:p>
    <w:p>
      <w:pPr>
        <w:numPr>
          <w:ilvl w:val="2"/>
          <w:numId w:val="1"/>
        </w:numPr>
        <w:tabs>
          <w:tab w:val="left" w:pos="900"/>
          <w:tab w:val="left" w:pos="1080"/>
          <w:tab w:val="left" w:pos="2014"/>
        </w:tabs>
        <w:snapToGrid w:val="0"/>
        <w:spacing w:line="360" w:lineRule="auto"/>
        <w:rPr>
          <w:sz w:val="24"/>
        </w:rPr>
      </w:pPr>
      <w:r>
        <w:rPr>
          <w:sz w:val="24"/>
        </w:rPr>
        <w:t>《投标人须知资料表》中规定的其他情形。</w:t>
      </w:r>
    </w:p>
    <w:p>
      <w:pPr>
        <w:numPr>
          <w:ilvl w:val="0"/>
          <w:numId w:val="1"/>
        </w:numPr>
        <w:tabs>
          <w:tab w:val="left" w:pos="360"/>
        </w:tabs>
        <w:snapToGrid w:val="0"/>
        <w:spacing w:line="360" w:lineRule="auto"/>
        <w:ind w:left="357" w:hanging="357"/>
        <w:outlineLvl w:val="1"/>
        <w:rPr>
          <w:sz w:val="24"/>
        </w:rPr>
      </w:pPr>
      <w:bookmarkStart w:id="337" w:name="_Toc150774737"/>
      <w:bookmarkStart w:id="338" w:name="_Toc151193630"/>
      <w:bookmarkStart w:id="339" w:name="_Toc520356157"/>
      <w:bookmarkStart w:id="340" w:name="_Toc164608646"/>
      <w:bookmarkStart w:id="341" w:name="_Toc195842897"/>
      <w:bookmarkStart w:id="342" w:name="_Toc164608801"/>
      <w:bookmarkStart w:id="343" w:name="_Toc151193846"/>
      <w:bookmarkStart w:id="344" w:name="_Toc265228370"/>
      <w:bookmarkStart w:id="345" w:name="_Toc127161446"/>
      <w:bookmarkStart w:id="346" w:name="_Toc151193702"/>
      <w:bookmarkStart w:id="347" w:name="_Toc149720825"/>
      <w:bookmarkStart w:id="348" w:name="_Toc226965722"/>
      <w:bookmarkStart w:id="349" w:name="_Toc150509283"/>
      <w:bookmarkStart w:id="350" w:name="_Toc264969222"/>
      <w:bookmarkStart w:id="351" w:name="_Toc151190159"/>
      <w:bookmarkStart w:id="352" w:name="_Toc164229373"/>
      <w:bookmarkStart w:id="353" w:name="_Toc164229227"/>
      <w:bookmarkStart w:id="354" w:name="_Toc226337228"/>
      <w:bookmarkStart w:id="355" w:name="_Toc151193920"/>
      <w:bookmarkStart w:id="356" w:name="_Toc305158874"/>
      <w:bookmarkStart w:id="357" w:name="_Toc150774632"/>
      <w:bookmarkStart w:id="358" w:name="_Toc142311034"/>
      <w:bookmarkStart w:id="359" w:name="_Toc226309776"/>
      <w:bookmarkStart w:id="360" w:name="_Toc305158800"/>
      <w:bookmarkStart w:id="361" w:name="_Toc151193774"/>
      <w:bookmarkStart w:id="362" w:name="_Toc127151532"/>
      <w:bookmarkStart w:id="363" w:name="_Toc150480770"/>
      <w:bookmarkStart w:id="364" w:name="_Toc164351626"/>
      <w:bookmarkStart w:id="365" w:name="_Toc127151733"/>
      <w:bookmarkStart w:id="366" w:name="_Toc226965805"/>
      <w:r>
        <w:rPr>
          <w:sz w:val="24"/>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numPr>
          <w:ilvl w:val="1"/>
          <w:numId w:val="1"/>
        </w:numPr>
        <w:tabs>
          <w:tab w:val="left" w:pos="1080"/>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pPr>
        <w:numPr>
          <w:ilvl w:val="0"/>
          <w:numId w:val="1"/>
        </w:numPr>
        <w:tabs>
          <w:tab w:val="left" w:pos="360"/>
        </w:tabs>
        <w:snapToGrid w:val="0"/>
        <w:spacing w:line="360" w:lineRule="auto"/>
        <w:ind w:left="357" w:hanging="357"/>
        <w:outlineLvl w:val="1"/>
        <w:rPr>
          <w:sz w:val="24"/>
        </w:rPr>
      </w:pPr>
      <w:bookmarkStart w:id="367" w:name="_Toc151193703"/>
      <w:bookmarkStart w:id="368" w:name="_Toc150774633"/>
      <w:bookmarkStart w:id="369" w:name="_Toc164229228"/>
      <w:bookmarkStart w:id="370" w:name="_Toc151193631"/>
      <w:bookmarkStart w:id="371" w:name="_Toc265228371"/>
      <w:bookmarkStart w:id="372" w:name="_Toc150480771"/>
      <w:bookmarkStart w:id="373" w:name="_Toc305158801"/>
      <w:bookmarkStart w:id="374" w:name="_Toc127151734"/>
      <w:bookmarkStart w:id="375" w:name="_Toc142311035"/>
      <w:bookmarkStart w:id="376" w:name="_Toc127151533"/>
      <w:bookmarkStart w:id="377" w:name="_Toc226965806"/>
      <w:bookmarkStart w:id="378" w:name="_Toc151190160"/>
      <w:bookmarkStart w:id="379" w:name="_Toc150774738"/>
      <w:bookmarkStart w:id="380" w:name="_Toc195842898"/>
      <w:bookmarkStart w:id="381" w:name="_Toc226965723"/>
      <w:bookmarkStart w:id="382" w:name="_Toc164608647"/>
      <w:bookmarkStart w:id="383" w:name="_Toc151193847"/>
      <w:bookmarkStart w:id="384" w:name="_Toc164229374"/>
      <w:bookmarkStart w:id="385" w:name="_Toc226309777"/>
      <w:bookmarkStart w:id="386" w:name="_Toc127161447"/>
      <w:bookmarkStart w:id="387" w:name="_Toc149720826"/>
      <w:bookmarkStart w:id="388" w:name="_Toc164608802"/>
      <w:bookmarkStart w:id="389" w:name="_Toc264969223"/>
      <w:bookmarkStart w:id="390" w:name="_Toc151193921"/>
      <w:bookmarkStart w:id="391" w:name="_Toc164351627"/>
      <w:bookmarkStart w:id="392" w:name="_Toc305158875"/>
      <w:bookmarkStart w:id="393" w:name="_Toc520356158"/>
      <w:bookmarkStart w:id="394" w:name="_Toc226337229"/>
      <w:bookmarkStart w:id="395" w:name="_Toc151193775"/>
      <w:bookmarkStart w:id="396" w:name="_Toc150509284"/>
      <w:r>
        <w:rPr>
          <w:sz w:val="24"/>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sz w:val="24"/>
        </w:rPr>
        <w:t>、盖章</w:t>
      </w:r>
    </w:p>
    <w:p>
      <w:pPr>
        <w:numPr>
          <w:ilvl w:val="1"/>
          <w:numId w:val="1"/>
        </w:numPr>
        <w:tabs>
          <w:tab w:val="left" w:pos="1080"/>
          <w:tab w:val="left" w:pos="2014"/>
        </w:tabs>
        <w:snapToGrid w:val="0"/>
        <w:spacing w:line="360" w:lineRule="auto"/>
        <w:ind w:left="1077" w:hanging="720"/>
        <w:rPr>
          <w:sz w:val="24"/>
        </w:rPr>
      </w:pPr>
      <w:bookmarkStart w:id="397" w:name="_Toc33442346"/>
      <w:bookmarkStart w:id="398" w:name="_Toc67559607"/>
      <w:bookmarkStart w:id="399" w:name="_Toc426056719"/>
      <w:bookmarkStart w:id="400" w:name="_Toc68707504"/>
      <w:bookmarkStart w:id="401" w:name="_Toc497367695"/>
      <w:bookmarkStart w:id="402" w:name="_Toc497114299"/>
      <w:bookmarkStart w:id="403" w:name="_Toc428539204"/>
      <w:bookmarkStart w:id="404" w:name="_Toc427312908"/>
      <w:bookmarkStart w:id="405" w:name="_Toc450826725"/>
      <w:bookmarkStart w:id="406" w:name="_Toc63776901"/>
      <w:bookmarkStart w:id="407" w:name="_Toc151193848"/>
      <w:bookmarkStart w:id="408" w:name="_Toc226965724"/>
      <w:bookmarkStart w:id="409" w:name="_Toc195842899"/>
      <w:bookmarkStart w:id="410" w:name="_Toc151190161"/>
      <w:bookmarkStart w:id="411" w:name="_Toc305158802"/>
      <w:bookmarkStart w:id="412" w:name="_Toc226309778"/>
      <w:bookmarkStart w:id="413" w:name="_Toc265228372"/>
      <w:bookmarkStart w:id="414" w:name="_Toc520356159"/>
      <w:bookmarkStart w:id="415" w:name="_Toc142311036"/>
      <w:bookmarkStart w:id="416" w:name="_Toc264969224"/>
      <w:bookmarkStart w:id="417" w:name="_Toc150509285"/>
      <w:bookmarkStart w:id="418" w:name="_Toc150774739"/>
      <w:bookmarkStart w:id="419" w:name="_Toc226965807"/>
      <w:bookmarkStart w:id="420" w:name="_Toc151193704"/>
      <w:bookmarkStart w:id="421" w:name="_Toc127151534"/>
      <w:bookmarkStart w:id="422" w:name="_Toc150774634"/>
      <w:bookmarkStart w:id="423" w:name="_Toc226337230"/>
      <w:bookmarkStart w:id="424" w:name="_Toc151193922"/>
      <w:bookmarkStart w:id="425" w:name="_Toc305158876"/>
      <w:bookmarkStart w:id="426" w:name="_Toc151193776"/>
      <w:bookmarkStart w:id="427" w:name="_Toc151193632"/>
      <w:bookmarkStart w:id="428" w:name="_Toc150480772"/>
      <w:r>
        <w:rPr>
          <w:sz w:val="24"/>
        </w:rPr>
        <w:t>投标人应准备纸质投标文件正本1份、纸质投标文件副本4份和电子版投标文件1份，每份纸质版投标文件须清楚地标明“正本”或“副本”字样。若纸质投标文件正本和副本不符，以纸质投标文件正本为准，纸质投标文件正本和电子版投标文件不符，以纸质投标文件正本为准。</w:t>
      </w:r>
      <w:bookmarkEnd w:id="397"/>
      <w:bookmarkEnd w:id="398"/>
      <w:bookmarkEnd w:id="399"/>
      <w:bookmarkEnd w:id="400"/>
      <w:bookmarkEnd w:id="401"/>
      <w:bookmarkEnd w:id="402"/>
      <w:bookmarkEnd w:id="403"/>
      <w:bookmarkEnd w:id="404"/>
      <w:bookmarkEnd w:id="405"/>
      <w:bookmarkEnd w:id="406"/>
    </w:p>
    <w:p>
      <w:pPr>
        <w:numPr>
          <w:ilvl w:val="1"/>
          <w:numId w:val="1"/>
        </w:numPr>
        <w:tabs>
          <w:tab w:val="left" w:pos="1080"/>
          <w:tab w:val="left" w:pos="2014"/>
        </w:tabs>
        <w:snapToGrid w:val="0"/>
        <w:spacing w:line="360" w:lineRule="auto"/>
        <w:ind w:left="1077" w:hanging="720"/>
        <w:rPr>
          <w:sz w:val="24"/>
        </w:rPr>
      </w:pPr>
      <w:bookmarkStart w:id="429" w:name="_Toc63776902"/>
      <w:bookmarkStart w:id="430" w:name="_Toc407612759"/>
      <w:bookmarkStart w:id="431" w:name="_Toc428539205"/>
      <w:bookmarkStart w:id="432" w:name="_Toc406595744"/>
      <w:bookmarkStart w:id="433" w:name="_Toc68707505"/>
      <w:bookmarkStart w:id="434" w:name="_Toc450826726"/>
      <w:bookmarkStart w:id="435" w:name="_Toc407613128"/>
      <w:bookmarkStart w:id="436" w:name="_Toc497114300"/>
      <w:bookmarkStart w:id="437" w:name="_Toc33442347"/>
      <w:bookmarkStart w:id="438" w:name="_Toc427312909"/>
      <w:bookmarkStart w:id="439" w:name="_Toc497367696"/>
      <w:bookmarkStart w:id="440" w:name="_Toc426056720"/>
      <w:bookmarkStart w:id="441" w:name="_Toc67559608"/>
      <w:r>
        <w:rPr>
          <w:sz w:val="24"/>
        </w:rPr>
        <w:t>纸质投标文件应装订牢固、目录清楚、页码准确。</w:t>
      </w:r>
      <w:bookmarkEnd w:id="429"/>
      <w:bookmarkEnd w:id="430"/>
      <w:bookmarkEnd w:id="431"/>
      <w:bookmarkEnd w:id="432"/>
      <w:bookmarkEnd w:id="433"/>
      <w:bookmarkEnd w:id="434"/>
      <w:bookmarkEnd w:id="435"/>
      <w:bookmarkEnd w:id="436"/>
      <w:bookmarkEnd w:id="437"/>
      <w:bookmarkEnd w:id="438"/>
      <w:bookmarkEnd w:id="439"/>
      <w:bookmarkEnd w:id="440"/>
      <w:bookmarkEnd w:id="441"/>
    </w:p>
    <w:p>
      <w:pPr>
        <w:numPr>
          <w:ilvl w:val="1"/>
          <w:numId w:val="1"/>
        </w:numPr>
        <w:tabs>
          <w:tab w:val="left" w:pos="1080"/>
          <w:tab w:val="left" w:pos="2014"/>
        </w:tabs>
        <w:snapToGrid w:val="0"/>
        <w:spacing w:line="360" w:lineRule="auto"/>
        <w:ind w:left="1077" w:hanging="720"/>
        <w:rPr>
          <w:sz w:val="24"/>
        </w:rPr>
      </w:pPr>
      <w:bookmarkStart w:id="442" w:name="_Toc68707506"/>
      <w:bookmarkStart w:id="443" w:name="_Toc63776903"/>
      <w:bookmarkStart w:id="444" w:name="_Toc426056721"/>
      <w:bookmarkStart w:id="445" w:name="_Toc33442348"/>
      <w:bookmarkStart w:id="446" w:name="_Toc428539206"/>
      <w:bookmarkStart w:id="447" w:name="_Toc497367697"/>
      <w:bookmarkStart w:id="448" w:name="_Toc67559609"/>
      <w:bookmarkStart w:id="449" w:name="_Toc450826727"/>
      <w:bookmarkStart w:id="450" w:name="_Toc497114301"/>
      <w:bookmarkStart w:id="451" w:name="_Toc427312910"/>
      <w:r>
        <w:rPr>
          <w:sz w:val="24"/>
        </w:rPr>
        <w:t>纸质投标文件正本需打印或用不褪色墨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纸质投标文件的副本可采用正本的复印件。</w:t>
      </w:r>
      <w:bookmarkEnd w:id="442"/>
      <w:bookmarkEnd w:id="443"/>
      <w:bookmarkEnd w:id="444"/>
      <w:bookmarkEnd w:id="445"/>
      <w:bookmarkEnd w:id="446"/>
      <w:bookmarkEnd w:id="447"/>
      <w:bookmarkEnd w:id="448"/>
      <w:bookmarkEnd w:id="449"/>
      <w:bookmarkEnd w:id="450"/>
      <w:bookmarkEnd w:id="451"/>
    </w:p>
    <w:p>
      <w:pPr>
        <w:numPr>
          <w:ilvl w:val="1"/>
          <w:numId w:val="1"/>
        </w:numPr>
        <w:tabs>
          <w:tab w:val="left" w:pos="1080"/>
          <w:tab w:val="left" w:pos="2014"/>
        </w:tabs>
        <w:snapToGrid w:val="0"/>
        <w:spacing w:line="360" w:lineRule="auto"/>
        <w:ind w:left="1077" w:hanging="720"/>
        <w:rPr>
          <w:sz w:val="24"/>
        </w:rPr>
      </w:pPr>
      <w:bookmarkStart w:id="452" w:name="_Toc497114302"/>
      <w:bookmarkStart w:id="453" w:name="_Toc428539207"/>
      <w:bookmarkStart w:id="454" w:name="_Toc68707507"/>
      <w:bookmarkStart w:id="455" w:name="_Toc427312911"/>
      <w:bookmarkStart w:id="456" w:name="_Toc67559610"/>
      <w:bookmarkStart w:id="457" w:name="_Toc63776904"/>
      <w:bookmarkStart w:id="458" w:name="_Toc497367698"/>
      <w:bookmarkStart w:id="459" w:name="_Toc450826728"/>
      <w:bookmarkStart w:id="460" w:name="_Toc426056722"/>
      <w:bookmarkStart w:id="461" w:name="_Toc33442349"/>
      <w:r>
        <w:rPr>
          <w:sz w:val="24"/>
        </w:rPr>
        <w:t>任何行间插字、涂改和增删，必须由投标文件签字人签字或盖章后才有效。</w:t>
      </w:r>
      <w:bookmarkEnd w:id="452"/>
      <w:bookmarkEnd w:id="453"/>
      <w:bookmarkEnd w:id="454"/>
      <w:bookmarkEnd w:id="455"/>
      <w:bookmarkEnd w:id="456"/>
      <w:bookmarkEnd w:id="457"/>
      <w:bookmarkEnd w:id="458"/>
      <w:bookmarkEnd w:id="459"/>
      <w:bookmarkEnd w:id="460"/>
      <w:bookmarkEnd w:id="461"/>
    </w:p>
    <w:p>
      <w:pPr>
        <w:numPr>
          <w:ilvl w:val="1"/>
          <w:numId w:val="1"/>
        </w:numPr>
        <w:tabs>
          <w:tab w:val="left" w:pos="1080"/>
          <w:tab w:val="left" w:pos="2014"/>
        </w:tabs>
        <w:snapToGrid w:val="0"/>
        <w:spacing w:line="360" w:lineRule="auto"/>
        <w:ind w:left="1077" w:hanging="720"/>
        <w:rPr>
          <w:sz w:val="24"/>
        </w:rPr>
      </w:pPr>
      <w:bookmarkStart w:id="462" w:name="_Toc497114303"/>
      <w:bookmarkStart w:id="463" w:name="_Toc450826729"/>
      <w:bookmarkStart w:id="464" w:name="_Toc426056723"/>
      <w:bookmarkStart w:id="465" w:name="_Toc428539208"/>
      <w:bookmarkStart w:id="466" w:name="_Toc68707508"/>
      <w:bookmarkStart w:id="467" w:name="_Toc497367699"/>
      <w:bookmarkStart w:id="468" w:name="_Toc427312912"/>
      <w:bookmarkStart w:id="469" w:name="_Toc67559611"/>
      <w:bookmarkStart w:id="470" w:name="_Toc63776905"/>
      <w:bookmarkStart w:id="471" w:name="_Toc33442350"/>
      <w:r>
        <w:rPr>
          <w:sz w:val="24"/>
        </w:rPr>
        <w:t>投标文件因字迹潦草或表达不清所引起的后果由投标人负责。</w:t>
      </w:r>
      <w:bookmarkEnd w:id="462"/>
      <w:bookmarkEnd w:id="463"/>
      <w:bookmarkEnd w:id="464"/>
      <w:bookmarkEnd w:id="465"/>
      <w:bookmarkEnd w:id="466"/>
      <w:bookmarkEnd w:id="467"/>
      <w:bookmarkEnd w:id="468"/>
      <w:bookmarkEnd w:id="469"/>
      <w:bookmarkEnd w:id="470"/>
      <w:bookmarkEnd w:id="471"/>
    </w:p>
    <w:p>
      <w:pPr>
        <w:numPr>
          <w:ilvl w:val="1"/>
          <w:numId w:val="1"/>
        </w:numPr>
        <w:tabs>
          <w:tab w:val="left" w:pos="1080"/>
          <w:tab w:val="left" w:pos="2014"/>
        </w:tabs>
        <w:snapToGrid w:val="0"/>
        <w:spacing w:line="360" w:lineRule="auto"/>
        <w:ind w:left="1077" w:hanging="720"/>
        <w:rPr>
          <w:sz w:val="24"/>
        </w:rPr>
      </w:pPr>
      <w:bookmarkStart w:id="472" w:name="_Toc450826730"/>
      <w:bookmarkStart w:id="473" w:name="_Toc497114304"/>
      <w:bookmarkStart w:id="474" w:name="_Toc497367700"/>
      <w:bookmarkStart w:id="475" w:name="_Toc67559612"/>
      <w:bookmarkStart w:id="476" w:name="_Toc33442351"/>
      <w:bookmarkStart w:id="477" w:name="_Toc68707509"/>
      <w:bookmarkStart w:id="478" w:name="_Toc63776906"/>
      <w:bookmarkStart w:id="479" w:name="_Toc426056724"/>
      <w:bookmarkStart w:id="480" w:name="_Toc428539209"/>
      <w:bookmarkStart w:id="481" w:name="_Toc427312913"/>
      <w:r>
        <w:rPr>
          <w:sz w:val="24"/>
        </w:rPr>
        <w:t>投标人为自然人的，可以不执行招标文件中对投标文件的盖章要求。</w:t>
      </w:r>
      <w:bookmarkEnd w:id="472"/>
      <w:bookmarkEnd w:id="473"/>
      <w:bookmarkEnd w:id="474"/>
      <w:bookmarkEnd w:id="475"/>
      <w:bookmarkEnd w:id="476"/>
      <w:bookmarkEnd w:id="477"/>
      <w:bookmarkEnd w:id="478"/>
      <w:bookmarkEnd w:id="479"/>
      <w:bookmarkEnd w:id="480"/>
      <w:bookmarkEnd w:id="481"/>
    </w:p>
    <w:p>
      <w:pPr>
        <w:numPr>
          <w:ilvl w:val="0"/>
          <w:numId w:val="4"/>
        </w:numPr>
        <w:tabs>
          <w:tab w:val="left" w:pos="360"/>
          <w:tab w:val="left" w:pos="900"/>
        </w:tabs>
        <w:snapToGrid w:val="0"/>
        <w:spacing w:line="360" w:lineRule="auto"/>
        <w:outlineLvl w:val="1"/>
        <w:rPr>
          <w:sz w:val="24"/>
        </w:rPr>
      </w:pPr>
      <w:r>
        <w:rPr>
          <w:rFonts w:hint="eastAsia"/>
          <w:sz w:val="24"/>
        </w:rPr>
        <w:t>投标文件的数量、密封和标记</w:t>
      </w:r>
    </w:p>
    <w:p>
      <w:pPr>
        <w:pStyle w:val="120"/>
        <w:numPr>
          <w:ilvl w:val="0"/>
          <w:numId w:val="1"/>
        </w:numPr>
        <w:tabs>
          <w:tab w:val="left" w:pos="1080"/>
          <w:tab w:val="left" w:pos="1589"/>
          <w:tab w:val="left" w:pos="2014"/>
        </w:tabs>
        <w:snapToGrid w:val="0"/>
        <w:spacing w:line="360" w:lineRule="auto"/>
        <w:ind w:firstLineChars="0"/>
        <w:rPr>
          <w:rFonts w:ascii="Times New Roman" w:hAnsi="Times New Roman"/>
          <w:vanish/>
          <w:sz w:val="24"/>
          <w:szCs w:val="24"/>
        </w:rPr>
      </w:pPr>
    </w:p>
    <w:p>
      <w:pPr>
        <w:numPr>
          <w:ilvl w:val="1"/>
          <w:numId w:val="1"/>
        </w:numPr>
        <w:tabs>
          <w:tab w:val="left" w:pos="1080"/>
          <w:tab w:val="left" w:pos="2014"/>
        </w:tabs>
        <w:snapToGrid w:val="0"/>
        <w:spacing w:line="360" w:lineRule="auto"/>
        <w:ind w:left="1077" w:hanging="720"/>
        <w:rPr>
          <w:sz w:val="24"/>
        </w:rPr>
      </w:pPr>
      <w:r>
        <w:rPr>
          <w:rFonts w:hint="eastAsia"/>
          <w:sz w:val="24"/>
        </w:rPr>
        <w:t>投标时，投标人应将纸质投标文件正本1份、纸质投标文件副本4份密封装在信封中，且在信封正面标明“正本”“副本”字样。电子版投标文件可单独密封包装，也可和正本一起封装。</w:t>
      </w:r>
    </w:p>
    <w:p>
      <w:pPr>
        <w:numPr>
          <w:ilvl w:val="1"/>
          <w:numId w:val="1"/>
        </w:numPr>
        <w:tabs>
          <w:tab w:val="left" w:pos="1080"/>
          <w:tab w:val="left" w:pos="2014"/>
        </w:tabs>
        <w:snapToGrid w:val="0"/>
        <w:spacing w:line="360" w:lineRule="auto"/>
        <w:ind w:left="1077" w:hanging="720"/>
        <w:rPr>
          <w:sz w:val="24"/>
        </w:rPr>
      </w:pPr>
      <w:r>
        <w:rPr>
          <w:rFonts w:hint="eastAsia"/>
          <w:sz w:val="24"/>
        </w:rPr>
        <w:t>为方便开标唱标，投标人应将 “开标一览表”单独密封，并在信封上标明“开标一览表”字样，在投标时单独递交。</w:t>
      </w:r>
    </w:p>
    <w:p>
      <w:pPr>
        <w:numPr>
          <w:ilvl w:val="1"/>
          <w:numId w:val="1"/>
        </w:numPr>
        <w:tabs>
          <w:tab w:val="left" w:pos="1080"/>
          <w:tab w:val="left" w:pos="1378"/>
          <w:tab w:val="left" w:pos="2014"/>
          <w:tab w:val="clear" w:pos="1589"/>
        </w:tabs>
        <w:snapToGrid w:val="0"/>
        <w:spacing w:line="360" w:lineRule="auto"/>
        <w:ind w:left="1257"/>
        <w:rPr>
          <w:sz w:val="24"/>
        </w:rPr>
      </w:pPr>
      <w:r>
        <w:rPr>
          <w:rFonts w:hint="eastAsia"/>
          <w:sz w:val="24"/>
        </w:rPr>
        <w:t>为方便核查投标保证金，投标人应将“投标保证金”单独密封，并在信封上标明“投标保证金”字样，在投标时单独递交。</w:t>
      </w:r>
    </w:p>
    <w:p>
      <w:pPr>
        <w:numPr>
          <w:ilvl w:val="1"/>
          <w:numId w:val="1"/>
        </w:numPr>
        <w:tabs>
          <w:tab w:val="left" w:pos="1080"/>
          <w:tab w:val="left" w:pos="2014"/>
        </w:tabs>
        <w:snapToGrid w:val="0"/>
        <w:spacing w:line="360" w:lineRule="auto"/>
        <w:ind w:left="1077" w:hanging="720"/>
        <w:rPr>
          <w:sz w:val="24"/>
        </w:rPr>
      </w:pPr>
      <w:r>
        <w:rPr>
          <w:rFonts w:hint="eastAsia"/>
          <w:sz w:val="24"/>
        </w:rPr>
        <w:t>如果投标人虽然未能按照上述14.1-14.3条规定对投标文件进行密封，但只要投标文件密封完好的，采购人或采购代理机构不得拒收。</w:t>
      </w:r>
    </w:p>
    <w:p>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pPr>
        <w:tabs>
          <w:tab w:val="left" w:pos="1080"/>
          <w:tab w:val="left" w:pos="1589"/>
          <w:tab w:val="left" w:pos="2014"/>
        </w:tabs>
        <w:snapToGrid w:val="0"/>
        <w:spacing w:line="360" w:lineRule="auto"/>
        <w:ind w:left="1005" w:leftChars="250" w:hanging="480" w:hangingChars="200"/>
        <w:rPr>
          <w:sz w:val="24"/>
        </w:rPr>
      </w:pPr>
      <w:r>
        <w:rPr>
          <w:rFonts w:hint="eastAsia"/>
          <w:sz w:val="24"/>
        </w:rPr>
        <w:t>15.5.1清楚标明递交至招标公告或投标邀请书中指明的地址。</w:t>
      </w:r>
    </w:p>
    <w:p>
      <w:pPr>
        <w:tabs>
          <w:tab w:val="left" w:pos="1080"/>
          <w:tab w:val="left" w:pos="1589"/>
          <w:tab w:val="left" w:pos="2014"/>
        </w:tabs>
        <w:snapToGrid w:val="0"/>
        <w:spacing w:line="360" w:lineRule="auto"/>
        <w:ind w:left="1005" w:leftChars="250" w:hanging="480" w:hangingChars="200"/>
        <w:rPr>
          <w:sz w:val="24"/>
        </w:rPr>
      </w:pPr>
      <w:r>
        <w:rPr>
          <w:rFonts w:hint="eastAsia"/>
          <w:sz w:val="24"/>
        </w:rPr>
        <w:t>15.5.2注明招标公告或投标邀请书中指明的项目名称、招标编号和“在     年   月   日上/下午     时    分之前不得启封”的字样（填入规定的开标日期和时间）。</w:t>
      </w:r>
    </w:p>
    <w:p>
      <w:pPr>
        <w:tabs>
          <w:tab w:val="left" w:pos="1080"/>
          <w:tab w:val="left" w:pos="1589"/>
          <w:tab w:val="left" w:pos="2014"/>
        </w:tabs>
        <w:snapToGrid w:val="0"/>
        <w:spacing w:line="360" w:lineRule="auto"/>
        <w:ind w:left="1005" w:leftChars="250" w:hanging="480" w:hangingChars="200"/>
        <w:rPr>
          <w:sz w:val="24"/>
        </w:rPr>
      </w:pPr>
      <w:r>
        <w:rPr>
          <w:rFonts w:hint="eastAsia"/>
          <w:sz w:val="24"/>
        </w:rPr>
        <w:t>15.5.3在信封的封装处加盖投标人公章，自然人投标的信封的封装处签字。</w:t>
      </w:r>
    </w:p>
    <w:p>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所有信封上还应写明投标人名称和地址，以便若其投标被宣布为“迟到”投标时，能原封退回。</w:t>
      </w:r>
    </w:p>
    <w:p>
      <w:pPr>
        <w:numPr>
          <w:ilvl w:val="1"/>
          <w:numId w:val="1"/>
        </w:numPr>
        <w:tabs>
          <w:tab w:val="left" w:pos="1080"/>
          <w:tab w:val="left" w:pos="2014"/>
        </w:tabs>
        <w:snapToGrid w:val="0"/>
        <w:spacing w:line="360" w:lineRule="auto"/>
        <w:ind w:left="1077" w:hanging="720"/>
        <w:rPr>
          <w:sz w:val="24"/>
        </w:rPr>
      </w:pPr>
      <w:r>
        <w:rPr>
          <w:rFonts w:hint="eastAsia"/>
          <w:sz w:val="24"/>
        </w:rPr>
        <w:t>如果投标人未按上述要求密封及加写标记，采购人、采购代理机构对投标文件的误投或过早启封概不负责。</w:t>
      </w:r>
    </w:p>
    <w:p>
      <w:pPr>
        <w:numPr>
          <w:ilvl w:val="1"/>
          <w:numId w:val="1"/>
        </w:numPr>
        <w:tabs>
          <w:tab w:val="left" w:pos="1080"/>
          <w:tab w:val="left" w:pos="2014"/>
        </w:tabs>
        <w:snapToGrid w:val="0"/>
        <w:spacing w:line="360" w:lineRule="auto"/>
        <w:ind w:left="1077" w:hanging="720"/>
        <w:rPr>
          <w:sz w:val="24"/>
        </w:rPr>
      </w:pPr>
      <w:r>
        <w:rPr>
          <w:rFonts w:hint="eastAsia"/>
          <w:sz w:val="24"/>
        </w:rPr>
        <w:t>由于不可抗拒的原因或无法控制的事件发生而导致投标文件包装的损坏或投标文件的损毁、丢失等，采购人将不负责任。</w:t>
      </w:r>
    </w:p>
    <w:p>
      <w:pPr>
        <w:tabs>
          <w:tab w:val="left" w:pos="900"/>
          <w:tab w:val="left" w:pos="1080"/>
        </w:tabs>
        <w:snapToGrid w:val="0"/>
        <w:spacing w:line="360" w:lineRule="auto"/>
        <w:ind w:left="382" w:hanging="25"/>
      </w:pPr>
    </w:p>
    <w:p>
      <w:pPr>
        <w:pStyle w:val="4"/>
        <w:spacing w:before="0" w:line="360" w:lineRule="auto"/>
        <w:rPr>
          <w:rFonts w:ascii="Times New Roman" w:hAnsi="Times New Roman" w:eastAsia="宋体"/>
          <w:sz w:val="28"/>
        </w:rPr>
      </w:pPr>
      <w:r>
        <w:rPr>
          <w:rFonts w:ascii="Times New Roman" w:hAnsi="Times New Roman" w:eastAsia="宋体"/>
          <w:sz w:val="28"/>
        </w:rPr>
        <w:t>四   投标文件的提交</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numPr>
          <w:ilvl w:val="0"/>
          <w:numId w:val="4"/>
        </w:numPr>
        <w:tabs>
          <w:tab w:val="left" w:pos="360"/>
          <w:tab w:val="left" w:pos="900"/>
        </w:tabs>
        <w:snapToGrid w:val="0"/>
        <w:spacing w:line="360" w:lineRule="auto"/>
        <w:outlineLvl w:val="1"/>
        <w:rPr>
          <w:sz w:val="24"/>
        </w:rPr>
      </w:pPr>
      <w:bookmarkStart w:id="482" w:name="_Toc305158879"/>
      <w:bookmarkStart w:id="483" w:name="_Toc149720830"/>
      <w:bookmarkStart w:id="484" w:name="_Toc265228375"/>
      <w:bookmarkStart w:id="485" w:name="_Toc150509288"/>
      <w:bookmarkStart w:id="486" w:name="_Toc151193779"/>
      <w:bookmarkStart w:id="487" w:name="_Toc164229378"/>
      <w:bookmarkStart w:id="488" w:name="_Toc127161451"/>
      <w:bookmarkStart w:id="489" w:name="_Toc226309781"/>
      <w:bookmarkStart w:id="490" w:name="_Toc226965727"/>
      <w:bookmarkStart w:id="491" w:name="_Toc164608806"/>
      <w:bookmarkStart w:id="492" w:name="_Toc226337233"/>
      <w:bookmarkStart w:id="493" w:name="_Toc520356162"/>
      <w:bookmarkStart w:id="494" w:name="_Toc195842902"/>
      <w:bookmarkStart w:id="495" w:name="_Toc164229232"/>
      <w:bookmarkStart w:id="496" w:name="_Toc264969227"/>
      <w:bookmarkStart w:id="497" w:name="_Toc142311039"/>
      <w:bookmarkStart w:id="498" w:name="_Toc151190164"/>
      <w:bookmarkStart w:id="499" w:name="_Toc305158805"/>
      <w:bookmarkStart w:id="500" w:name="_Toc150774742"/>
      <w:bookmarkStart w:id="501" w:name="_Toc150480775"/>
      <w:bookmarkStart w:id="502" w:name="_Toc151193925"/>
      <w:bookmarkStart w:id="503" w:name="_Toc226965810"/>
      <w:bookmarkStart w:id="504" w:name="_Toc151193635"/>
      <w:bookmarkStart w:id="505" w:name="_Toc164351631"/>
      <w:bookmarkStart w:id="506" w:name="_Toc150774637"/>
      <w:bookmarkStart w:id="507" w:name="_Toc127151738"/>
      <w:bookmarkStart w:id="508" w:name="_Toc151193851"/>
      <w:bookmarkStart w:id="509" w:name="_Toc151193707"/>
      <w:bookmarkStart w:id="510" w:name="_Toc127151537"/>
      <w:bookmarkStart w:id="511" w:name="_Toc164608651"/>
      <w:r>
        <w:rPr>
          <w:rFonts w:hint="eastAsia"/>
          <w:sz w:val="24"/>
        </w:rPr>
        <w:t>递交投标文件的截止时间</w:t>
      </w:r>
    </w:p>
    <w:p>
      <w:pPr>
        <w:pStyle w:val="120"/>
        <w:numPr>
          <w:ilvl w:val="0"/>
          <w:numId w:val="1"/>
        </w:numPr>
        <w:tabs>
          <w:tab w:val="left" w:pos="1080"/>
          <w:tab w:val="left" w:pos="1589"/>
          <w:tab w:val="left" w:pos="2014"/>
        </w:tabs>
        <w:snapToGrid w:val="0"/>
        <w:spacing w:line="360" w:lineRule="auto"/>
        <w:ind w:firstLineChars="0"/>
        <w:rPr>
          <w:rFonts w:ascii="Times New Roman" w:hAnsi="Times New Roman"/>
          <w:vanish/>
          <w:sz w:val="24"/>
          <w:szCs w:val="24"/>
        </w:rPr>
      </w:pPr>
      <w:bookmarkStart w:id="512" w:name="_Toc426056737"/>
      <w:bookmarkStart w:id="513" w:name="_Toc68707524"/>
      <w:bookmarkStart w:id="514" w:name="_Toc33442366"/>
      <w:bookmarkStart w:id="515" w:name="_Toc63776921"/>
      <w:bookmarkStart w:id="516" w:name="_Toc497367715"/>
      <w:bookmarkStart w:id="517" w:name="_Toc427312926"/>
      <w:bookmarkStart w:id="518" w:name="_Toc497114319"/>
      <w:bookmarkStart w:id="519" w:name="_Toc67559627"/>
      <w:bookmarkStart w:id="520" w:name="_Toc450826744"/>
      <w:bookmarkStart w:id="521" w:name="_Toc428539224"/>
    </w:p>
    <w:p>
      <w:pPr>
        <w:numPr>
          <w:ilvl w:val="1"/>
          <w:numId w:val="1"/>
        </w:numPr>
        <w:tabs>
          <w:tab w:val="left" w:pos="1080"/>
          <w:tab w:val="left" w:pos="2014"/>
        </w:tabs>
        <w:snapToGrid w:val="0"/>
        <w:spacing w:line="360" w:lineRule="auto"/>
        <w:ind w:left="1077" w:hanging="720"/>
        <w:rPr>
          <w:sz w:val="24"/>
        </w:rPr>
      </w:pPr>
      <w:r>
        <w:rPr>
          <w:sz w:val="24"/>
        </w:rPr>
        <w:t>投标人应在招标公告或投标邀请书中规定的截止日期和时间内，将投标文件递交采购人或采购代理机构，递交地点应是招标公告或投标邀请书中规定的地址。</w:t>
      </w:r>
      <w:bookmarkEnd w:id="512"/>
      <w:bookmarkEnd w:id="513"/>
      <w:bookmarkEnd w:id="514"/>
      <w:bookmarkEnd w:id="515"/>
      <w:bookmarkEnd w:id="516"/>
      <w:bookmarkEnd w:id="517"/>
      <w:bookmarkEnd w:id="518"/>
      <w:bookmarkEnd w:id="519"/>
      <w:bookmarkEnd w:id="520"/>
      <w:bookmarkEnd w:id="521"/>
    </w:p>
    <w:p>
      <w:pPr>
        <w:numPr>
          <w:ilvl w:val="1"/>
          <w:numId w:val="1"/>
        </w:numPr>
        <w:tabs>
          <w:tab w:val="left" w:pos="1080"/>
          <w:tab w:val="left" w:pos="2014"/>
        </w:tabs>
        <w:snapToGrid w:val="0"/>
        <w:spacing w:line="360" w:lineRule="auto"/>
        <w:ind w:left="1077" w:hanging="720"/>
        <w:rPr>
          <w:sz w:val="24"/>
        </w:rPr>
      </w:pPr>
      <w:bookmarkStart w:id="522" w:name="_Toc33442367"/>
      <w:bookmarkStart w:id="523" w:name="_Toc67559628"/>
      <w:bookmarkStart w:id="524" w:name="_Toc63776922"/>
      <w:bookmarkStart w:id="525" w:name="_Toc497114320"/>
      <w:bookmarkStart w:id="526" w:name="_Toc68707525"/>
      <w:bookmarkStart w:id="527" w:name="_Toc497367716"/>
      <w:r>
        <w:rPr>
          <w:sz w:val="24"/>
        </w:rPr>
        <w:t>采购人或采购代理机构收到投标文件后，应当如实记载投标文件的送达时间和密封情况，签收保存，并向投标人出具签收回执。任何单位和个人不得在开标前开启投标文件。</w:t>
      </w:r>
      <w:bookmarkEnd w:id="522"/>
      <w:bookmarkEnd w:id="523"/>
      <w:bookmarkEnd w:id="524"/>
      <w:bookmarkEnd w:id="525"/>
      <w:bookmarkEnd w:id="526"/>
      <w:bookmarkEnd w:id="527"/>
    </w:p>
    <w:p>
      <w:pPr>
        <w:numPr>
          <w:ilvl w:val="1"/>
          <w:numId w:val="1"/>
        </w:numPr>
        <w:tabs>
          <w:tab w:val="left" w:pos="1080"/>
          <w:tab w:val="left" w:pos="2014"/>
        </w:tabs>
        <w:snapToGrid w:val="0"/>
        <w:spacing w:line="360" w:lineRule="auto"/>
        <w:ind w:left="1077" w:hanging="720"/>
        <w:rPr>
          <w:sz w:val="24"/>
        </w:rPr>
      </w:pPr>
      <w:bookmarkStart w:id="528" w:name="_Toc497367717"/>
      <w:bookmarkStart w:id="529" w:name="_Toc63776923"/>
      <w:bookmarkStart w:id="530" w:name="_Toc68707526"/>
      <w:bookmarkStart w:id="531" w:name="_Toc407612773"/>
      <w:bookmarkStart w:id="532" w:name="_Toc407613142"/>
      <w:bookmarkStart w:id="533" w:name="_Toc427312927"/>
      <w:bookmarkStart w:id="534" w:name="_Toc428539225"/>
      <w:bookmarkStart w:id="535" w:name="_Toc406595758"/>
      <w:bookmarkStart w:id="536" w:name="_Toc497114321"/>
      <w:bookmarkStart w:id="537" w:name="_Toc33442368"/>
      <w:bookmarkStart w:id="538" w:name="_Toc450826745"/>
      <w:bookmarkStart w:id="539" w:name="_Toc67559629"/>
      <w:bookmarkStart w:id="540" w:name="_Toc426056738"/>
      <w:r>
        <w:rPr>
          <w:sz w:val="24"/>
        </w:rPr>
        <w:t>采购人、采购代理机构有权按本须知的规定，通过修改招标文件延长投标截止期。在此情况下，采购人、采购代理机构和投标人受投标截止期制约的所有权利和义务均应延长至新的截止期。</w:t>
      </w:r>
      <w:bookmarkEnd w:id="528"/>
      <w:bookmarkEnd w:id="529"/>
      <w:bookmarkEnd w:id="530"/>
      <w:bookmarkEnd w:id="531"/>
      <w:bookmarkEnd w:id="532"/>
      <w:bookmarkEnd w:id="533"/>
      <w:bookmarkEnd w:id="534"/>
      <w:bookmarkEnd w:id="535"/>
      <w:bookmarkEnd w:id="536"/>
      <w:bookmarkEnd w:id="537"/>
      <w:bookmarkEnd w:id="538"/>
      <w:bookmarkEnd w:id="539"/>
      <w:bookmarkEnd w:id="540"/>
    </w:p>
    <w:p>
      <w:pPr>
        <w:numPr>
          <w:ilvl w:val="1"/>
          <w:numId w:val="1"/>
        </w:numPr>
        <w:tabs>
          <w:tab w:val="left" w:pos="1080"/>
          <w:tab w:val="left" w:pos="2014"/>
        </w:tabs>
        <w:snapToGrid w:val="0"/>
        <w:spacing w:line="360" w:lineRule="auto"/>
        <w:ind w:left="1077" w:hanging="720"/>
        <w:rPr>
          <w:sz w:val="24"/>
        </w:rPr>
      </w:pPr>
      <w:bookmarkStart w:id="541" w:name="_Toc67559630"/>
      <w:bookmarkStart w:id="542" w:name="_Toc427312928"/>
      <w:bookmarkStart w:id="543" w:name="_Toc68707527"/>
      <w:bookmarkStart w:id="544" w:name="_Toc450826746"/>
      <w:bookmarkStart w:id="545" w:name="_Toc428539226"/>
      <w:bookmarkStart w:id="546" w:name="_Toc33442369"/>
      <w:bookmarkStart w:id="547" w:name="_Toc497367718"/>
      <w:bookmarkStart w:id="548" w:name="_Toc497114322"/>
      <w:bookmarkStart w:id="549" w:name="_Toc426056739"/>
      <w:bookmarkStart w:id="550" w:name="_Toc63776924"/>
      <w:r>
        <w:rPr>
          <w:sz w:val="24"/>
        </w:rPr>
        <w:t>采购人、采购代理机构将拒绝并原封退回在本须知规定的投标截止期后收到的任何投标文件。</w:t>
      </w:r>
      <w:bookmarkEnd w:id="541"/>
      <w:bookmarkEnd w:id="542"/>
      <w:bookmarkEnd w:id="543"/>
      <w:bookmarkEnd w:id="544"/>
      <w:bookmarkEnd w:id="545"/>
      <w:bookmarkEnd w:id="546"/>
      <w:bookmarkEnd w:id="547"/>
      <w:bookmarkEnd w:id="548"/>
      <w:bookmarkEnd w:id="549"/>
      <w:bookmarkEnd w:id="550"/>
    </w:p>
    <w:p>
      <w:pPr>
        <w:numPr>
          <w:ilvl w:val="1"/>
          <w:numId w:val="1"/>
        </w:numPr>
        <w:tabs>
          <w:tab w:val="left" w:pos="1080"/>
          <w:tab w:val="left" w:pos="2014"/>
        </w:tabs>
        <w:snapToGrid w:val="0"/>
        <w:spacing w:line="360" w:lineRule="auto"/>
        <w:ind w:left="1077" w:hanging="720"/>
        <w:rPr>
          <w:sz w:val="24"/>
        </w:rPr>
      </w:pPr>
      <w:bookmarkStart w:id="551" w:name="_Toc428539227"/>
      <w:bookmarkStart w:id="552" w:name="_Toc497114323"/>
      <w:bookmarkStart w:id="553" w:name="_Toc63776925"/>
      <w:bookmarkStart w:id="554" w:name="_Toc68707528"/>
      <w:bookmarkStart w:id="555" w:name="_Toc497367719"/>
      <w:bookmarkStart w:id="556" w:name="_Toc67559631"/>
      <w:bookmarkStart w:id="557" w:name="_Toc450826747"/>
      <w:bookmarkStart w:id="558" w:name="_Toc33442370"/>
      <w:r>
        <w:rPr>
          <w:sz w:val="24"/>
        </w:rPr>
        <w:t>采购人、采购代理机构拒绝接受以电报、电话、传真、电子邮件等其它形式的投标。</w:t>
      </w:r>
      <w:bookmarkEnd w:id="551"/>
      <w:bookmarkEnd w:id="552"/>
      <w:bookmarkEnd w:id="553"/>
      <w:bookmarkEnd w:id="554"/>
      <w:bookmarkEnd w:id="555"/>
      <w:bookmarkEnd w:id="556"/>
      <w:bookmarkEnd w:id="557"/>
      <w:bookmarkEnd w:id="558"/>
    </w:p>
    <w:p>
      <w:pPr>
        <w:numPr>
          <w:ilvl w:val="1"/>
          <w:numId w:val="1"/>
        </w:numPr>
        <w:tabs>
          <w:tab w:val="left" w:pos="1080"/>
          <w:tab w:val="left" w:pos="2014"/>
        </w:tabs>
        <w:snapToGrid w:val="0"/>
        <w:spacing w:line="360" w:lineRule="auto"/>
        <w:ind w:left="1077" w:hanging="720"/>
        <w:rPr>
          <w:sz w:val="24"/>
        </w:rPr>
      </w:pPr>
      <w:bookmarkStart w:id="559" w:name="_Toc33442371"/>
      <w:bookmarkStart w:id="560" w:name="_Toc450826748"/>
      <w:bookmarkStart w:id="561" w:name="_Toc497367720"/>
      <w:bookmarkStart w:id="562" w:name="_Toc67559632"/>
      <w:bookmarkStart w:id="563" w:name="_Toc68707529"/>
      <w:bookmarkStart w:id="564" w:name="_Toc497114324"/>
      <w:bookmarkStart w:id="565" w:name="_Toc63776926"/>
      <w:r>
        <w:rPr>
          <w:sz w:val="24"/>
        </w:rPr>
        <w:t>未按规定在</w:t>
      </w:r>
      <w:r>
        <w:rPr>
          <w:rFonts w:hint="eastAsia"/>
          <w:sz w:val="24"/>
        </w:rPr>
        <w:t>北京市政府采购电子交易平台获取文件的投标人</w:t>
      </w:r>
      <w:r>
        <w:rPr>
          <w:sz w:val="24"/>
        </w:rPr>
        <w:t>，其投标将被拒绝。</w:t>
      </w:r>
      <w:bookmarkEnd w:id="559"/>
      <w:bookmarkEnd w:id="560"/>
      <w:bookmarkEnd w:id="561"/>
      <w:bookmarkEnd w:id="562"/>
      <w:bookmarkEnd w:id="563"/>
      <w:bookmarkEnd w:id="564"/>
      <w:bookmarkEnd w:id="565"/>
    </w:p>
    <w:p>
      <w:pPr>
        <w:numPr>
          <w:ilvl w:val="0"/>
          <w:numId w:val="5"/>
        </w:numPr>
        <w:tabs>
          <w:tab w:val="left" w:pos="360"/>
        </w:tabs>
        <w:snapToGrid w:val="0"/>
        <w:spacing w:line="360" w:lineRule="auto"/>
        <w:outlineLvl w:val="1"/>
        <w:rPr>
          <w:sz w:val="24"/>
        </w:rPr>
      </w:pPr>
      <w:r>
        <w:rPr>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pStyle w:val="120"/>
        <w:numPr>
          <w:ilvl w:val="0"/>
          <w:numId w:val="1"/>
        </w:numPr>
        <w:tabs>
          <w:tab w:val="left" w:pos="1080"/>
          <w:tab w:val="left" w:pos="1589"/>
          <w:tab w:val="left" w:pos="2014"/>
        </w:tabs>
        <w:snapToGrid w:val="0"/>
        <w:spacing w:line="360" w:lineRule="auto"/>
        <w:ind w:firstLineChars="0"/>
        <w:rPr>
          <w:rFonts w:ascii="Times New Roman" w:hAnsi="Times New Roman"/>
          <w:vanish/>
          <w:sz w:val="24"/>
          <w:szCs w:val="24"/>
        </w:rPr>
      </w:pPr>
      <w:bookmarkStart w:id="566" w:name="_Toc427312930"/>
      <w:bookmarkStart w:id="567" w:name="_Toc407612776"/>
      <w:bookmarkStart w:id="568" w:name="_Toc68707531"/>
      <w:bookmarkStart w:id="569" w:name="_Toc497114326"/>
      <w:bookmarkStart w:id="570" w:name="_Toc63776928"/>
      <w:bookmarkStart w:id="571" w:name="_Toc407613145"/>
      <w:bookmarkStart w:id="572" w:name="_Toc450826750"/>
      <w:bookmarkStart w:id="573" w:name="_Toc497367722"/>
      <w:bookmarkStart w:id="574" w:name="_Toc406595761"/>
      <w:bookmarkStart w:id="575" w:name="_Toc428539229"/>
      <w:bookmarkStart w:id="576" w:name="_Toc426056741"/>
      <w:bookmarkStart w:id="577" w:name="_Toc67559634"/>
      <w:bookmarkStart w:id="578" w:name="_Toc33442373"/>
    </w:p>
    <w:p>
      <w:pPr>
        <w:numPr>
          <w:ilvl w:val="1"/>
          <w:numId w:val="1"/>
        </w:numPr>
        <w:tabs>
          <w:tab w:val="left" w:pos="1080"/>
          <w:tab w:val="left" w:pos="2014"/>
        </w:tabs>
        <w:snapToGrid w:val="0"/>
        <w:spacing w:line="360" w:lineRule="auto"/>
        <w:ind w:left="1077" w:hanging="720"/>
        <w:rPr>
          <w:sz w:val="24"/>
        </w:rPr>
      </w:pPr>
      <w:r>
        <w:rPr>
          <w:sz w:val="24"/>
        </w:rPr>
        <w:t>投标人在提交投标文件后可对其投标文件进行修改、补充或撤回，但必须有修改、补充或撤回的书面通知，且该通知需经投标人法定代表人签字或正式授权的投标人代表签字，并在投标截止时间前送达采购人或采购代理机构，采购人或采购代理机构将予以接受。</w:t>
      </w:r>
      <w:bookmarkEnd w:id="566"/>
      <w:bookmarkEnd w:id="567"/>
      <w:bookmarkEnd w:id="568"/>
      <w:bookmarkEnd w:id="569"/>
      <w:bookmarkEnd w:id="570"/>
      <w:bookmarkEnd w:id="571"/>
      <w:bookmarkEnd w:id="572"/>
      <w:bookmarkEnd w:id="573"/>
      <w:bookmarkEnd w:id="574"/>
      <w:bookmarkEnd w:id="575"/>
      <w:bookmarkEnd w:id="576"/>
      <w:bookmarkEnd w:id="577"/>
      <w:bookmarkEnd w:id="578"/>
    </w:p>
    <w:p>
      <w:pPr>
        <w:numPr>
          <w:ilvl w:val="1"/>
          <w:numId w:val="1"/>
        </w:numPr>
        <w:tabs>
          <w:tab w:val="left" w:pos="1080"/>
          <w:tab w:val="left" w:pos="2014"/>
        </w:tabs>
        <w:snapToGrid w:val="0"/>
        <w:spacing w:line="360" w:lineRule="auto"/>
        <w:ind w:left="1077" w:hanging="720"/>
        <w:rPr>
          <w:sz w:val="24"/>
        </w:rPr>
      </w:pPr>
      <w:bookmarkStart w:id="579" w:name="_Toc407613146"/>
      <w:bookmarkStart w:id="580" w:name="_Toc426056742"/>
      <w:bookmarkStart w:id="581" w:name="_Toc407612777"/>
      <w:bookmarkStart w:id="582" w:name="_Toc63776929"/>
      <w:bookmarkStart w:id="583" w:name="_Toc427312931"/>
      <w:bookmarkStart w:id="584" w:name="_Toc33442374"/>
      <w:bookmarkStart w:id="585" w:name="_Toc428539230"/>
      <w:bookmarkStart w:id="586" w:name="_Toc497367723"/>
      <w:bookmarkStart w:id="587" w:name="_Toc450826751"/>
      <w:bookmarkStart w:id="588" w:name="_Toc497114327"/>
      <w:bookmarkStart w:id="589" w:name="_Toc406595762"/>
      <w:bookmarkStart w:id="590" w:name="_Toc68707532"/>
      <w:bookmarkStart w:id="591" w:name="_Toc67559635"/>
      <w:r>
        <w:rPr>
          <w:sz w:val="24"/>
        </w:rPr>
        <w:t>投标人对投标文件的修改或撤回通知应按本须知规定编制、密封、标记和递交。</w:t>
      </w:r>
      <w:bookmarkEnd w:id="579"/>
      <w:bookmarkEnd w:id="580"/>
      <w:bookmarkEnd w:id="581"/>
      <w:bookmarkEnd w:id="582"/>
      <w:bookmarkEnd w:id="583"/>
      <w:bookmarkEnd w:id="584"/>
      <w:bookmarkEnd w:id="585"/>
      <w:bookmarkEnd w:id="586"/>
      <w:bookmarkEnd w:id="587"/>
      <w:bookmarkEnd w:id="588"/>
      <w:bookmarkEnd w:id="589"/>
      <w:bookmarkEnd w:id="590"/>
      <w:bookmarkEnd w:id="591"/>
    </w:p>
    <w:p>
      <w:pPr>
        <w:numPr>
          <w:ilvl w:val="1"/>
          <w:numId w:val="1"/>
        </w:numPr>
        <w:tabs>
          <w:tab w:val="left" w:pos="1080"/>
          <w:tab w:val="left" w:pos="2014"/>
        </w:tabs>
        <w:snapToGrid w:val="0"/>
        <w:spacing w:line="360" w:lineRule="auto"/>
        <w:ind w:left="1077" w:hanging="720"/>
        <w:rPr>
          <w:sz w:val="24"/>
        </w:rPr>
      </w:pPr>
      <w:bookmarkStart w:id="592" w:name="_Toc450826752"/>
      <w:bookmarkStart w:id="593" w:name="_Toc428539231"/>
      <w:bookmarkStart w:id="594" w:name="_Toc63776930"/>
      <w:bookmarkStart w:id="595" w:name="_Toc407613147"/>
      <w:bookmarkStart w:id="596" w:name="_Toc427312932"/>
      <w:bookmarkStart w:id="597" w:name="_Toc406595763"/>
      <w:bookmarkStart w:id="598" w:name="_Toc497367724"/>
      <w:bookmarkStart w:id="599" w:name="_Toc68707533"/>
      <w:bookmarkStart w:id="600" w:name="_Toc426056743"/>
      <w:bookmarkStart w:id="601" w:name="_Toc407612778"/>
      <w:bookmarkStart w:id="602" w:name="_Toc497114328"/>
      <w:bookmarkStart w:id="603" w:name="_Toc67559636"/>
      <w:bookmarkStart w:id="604" w:name="_Toc33442375"/>
      <w:r>
        <w:rPr>
          <w:sz w:val="24"/>
        </w:rPr>
        <w:t>在投标截止时间之后，投标人不得修改、补充或撤回其投标文件（评标委员会要求的澄清除外）。</w:t>
      </w:r>
      <w:bookmarkEnd w:id="592"/>
      <w:bookmarkEnd w:id="593"/>
      <w:bookmarkEnd w:id="594"/>
      <w:bookmarkEnd w:id="595"/>
      <w:bookmarkEnd w:id="596"/>
      <w:bookmarkEnd w:id="597"/>
      <w:bookmarkEnd w:id="598"/>
      <w:bookmarkEnd w:id="599"/>
      <w:bookmarkEnd w:id="600"/>
      <w:bookmarkEnd w:id="601"/>
      <w:bookmarkEnd w:id="602"/>
      <w:bookmarkEnd w:id="603"/>
      <w:bookmarkEnd w:id="604"/>
    </w:p>
    <w:p>
      <w:pPr>
        <w:numPr>
          <w:ilvl w:val="1"/>
          <w:numId w:val="1"/>
        </w:numPr>
        <w:tabs>
          <w:tab w:val="left" w:pos="1080"/>
          <w:tab w:val="left" w:pos="2014"/>
        </w:tabs>
        <w:snapToGrid w:val="0"/>
        <w:spacing w:line="360" w:lineRule="auto"/>
        <w:ind w:left="1077" w:hanging="720"/>
        <w:rPr>
          <w:sz w:val="24"/>
        </w:rPr>
      </w:pPr>
      <w:bookmarkStart w:id="605" w:name="_Toc68707534"/>
      <w:bookmarkStart w:id="606" w:name="_Toc63776931"/>
      <w:bookmarkStart w:id="607" w:name="_Toc33442376"/>
      <w:bookmarkStart w:id="608" w:name="_Toc497114329"/>
      <w:bookmarkStart w:id="609" w:name="_Toc67559637"/>
      <w:bookmarkStart w:id="610" w:name="_Toc497367725"/>
      <w:r>
        <w:rPr>
          <w:sz w:val="24"/>
        </w:rPr>
        <w:t>在投标有效期内，投标人不得撤销其投标。</w:t>
      </w:r>
      <w:bookmarkEnd w:id="605"/>
      <w:bookmarkEnd w:id="606"/>
      <w:bookmarkEnd w:id="607"/>
      <w:bookmarkEnd w:id="608"/>
      <w:bookmarkEnd w:id="609"/>
      <w:bookmarkEnd w:id="610"/>
    </w:p>
    <w:p>
      <w:pPr>
        <w:numPr>
          <w:ilvl w:val="1"/>
          <w:numId w:val="1"/>
        </w:numPr>
        <w:tabs>
          <w:tab w:val="left" w:pos="1080"/>
          <w:tab w:val="left" w:pos="2014"/>
        </w:tabs>
        <w:snapToGrid w:val="0"/>
        <w:spacing w:line="360" w:lineRule="auto"/>
        <w:ind w:left="1077" w:hanging="720"/>
        <w:rPr>
          <w:sz w:val="24"/>
        </w:rPr>
      </w:pPr>
      <w:bookmarkStart w:id="611" w:name="_Toc67559638"/>
      <w:bookmarkStart w:id="612" w:name="_Toc68707535"/>
      <w:bookmarkStart w:id="613" w:name="_Toc497367726"/>
      <w:bookmarkStart w:id="614" w:name="_Toc497114330"/>
      <w:bookmarkStart w:id="615" w:name="_Toc63776932"/>
      <w:bookmarkStart w:id="616" w:name="_Toc33442377"/>
      <w:r>
        <w:rPr>
          <w:sz w:val="24"/>
        </w:rPr>
        <w:t>投标人在投标截止时间前撤回已提交的投标文件的，采购人或采购代理机构应当自收到投标人书面撤回通知之日起</w:t>
      </w:r>
      <w:r>
        <w:rPr>
          <w:rFonts w:hint="eastAsia"/>
          <w:sz w:val="24"/>
        </w:rPr>
        <w:t>5</w:t>
      </w:r>
      <w:r>
        <w:rPr>
          <w:sz w:val="24"/>
        </w:rPr>
        <w:t>个工作日内，退还已收取的投标保证金，但因投标人自身原因导致无法及时退还的除外。</w:t>
      </w:r>
      <w:bookmarkEnd w:id="611"/>
      <w:bookmarkEnd w:id="612"/>
      <w:bookmarkEnd w:id="613"/>
      <w:bookmarkEnd w:id="614"/>
      <w:bookmarkEnd w:id="615"/>
      <w:bookmarkEnd w:id="616"/>
    </w:p>
    <w:p>
      <w:pPr>
        <w:spacing w:line="360" w:lineRule="auto"/>
        <w:ind w:right="-57" w:rightChars="-27" w:firstLine="420" w:firstLineChars="200"/>
        <w:rPr>
          <w:szCs w:val="21"/>
        </w:rPr>
      </w:pPr>
    </w:p>
    <w:p>
      <w:pPr>
        <w:spacing w:line="360" w:lineRule="auto"/>
        <w:rPr>
          <w:sz w:val="24"/>
        </w:rPr>
      </w:pPr>
    </w:p>
    <w:p>
      <w:pPr>
        <w:pStyle w:val="4"/>
        <w:spacing w:before="0" w:line="360" w:lineRule="auto"/>
        <w:rPr>
          <w:rFonts w:ascii="Times New Roman" w:hAnsi="Times New Roman" w:eastAsia="宋体"/>
          <w:sz w:val="28"/>
        </w:rPr>
      </w:pPr>
      <w:bookmarkStart w:id="617" w:name="_Toc264969228"/>
      <w:bookmarkStart w:id="618" w:name="_Toc150774638"/>
      <w:bookmarkStart w:id="619" w:name="_Toc195842903"/>
      <w:bookmarkStart w:id="620" w:name="_Toc226965728"/>
      <w:bookmarkStart w:id="621" w:name="_Toc305158880"/>
      <w:bookmarkStart w:id="622" w:name="_Toc142311040"/>
      <w:bookmarkStart w:id="623" w:name="_Toc150774743"/>
      <w:bookmarkStart w:id="624" w:name="_Toc151193780"/>
      <w:bookmarkStart w:id="625" w:name="_Toc265228376"/>
      <w:bookmarkStart w:id="626" w:name="_Toc151193636"/>
      <w:bookmarkStart w:id="627" w:name="_Toc150509289"/>
      <w:bookmarkStart w:id="628" w:name="_Toc151193926"/>
      <w:bookmarkStart w:id="629" w:name="_Toc305158806"/>
      <w:bookmarkStart w:id="630" w:name="_Toc226309782"/>
      <w:bookmarkStart w:id="631" w:name="_Toc151193708"/>
      <w:bookmarkStart w:id="632" w:name="_Toc151193852"/>
      <w:bookmarkStart w:id="633" w:name="_Toc226337234"/>
      <w:bookmarkStart w:id="634" w:name="_Toc127151538"/>
      <w:bookmarkStart w:id="635" w:name="_Toc520356163"/>
      <w:bookmarkStart w:id="636" w:name="_Toc226965811"/>
      <w:bookmarkStart w:id="637" w:name="_Toc150480776"/>
      <w:bookmarkStart w:id="638" w:name="_Toc151190165"/>
      <w:r>
        <w:rPr>
          <w:rFonts w:ascii="Times New Roman" w:hAnsi="Times New Roman" w:eastAsia="宋体"/>
          <w:sz w:val="28"/>
        </w:rPr>
        <w:t>五   开标、资格审查及评标</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numPr>
          <w:ilvl w:val="0"/>
          <w:numId w:val="5"/>
        </w:numPr>
        <w:tabs>
          <w:tab w:val="left" w:pos="360"/>
          <w:tab w:val="left" w:pos="900"/>
        </w:tabs>
        <w:snapToGrid w:val="0"/>
        <w:spacing w:line="360" w:lineRule="auto"/>
        <w:ind w:left="357" w:hanging="357"/>
        <w:outlineLvl w:val="1"/>
        <w:rPr>
          <w:sz w:val="24"/>
        </w:rPr>
      </w:pPr>
      <w:bookmarkStart w:id="639" w:name="_Toc164229234"/>
      <w:bookmarkStart w:id="640" w:name="_Toc264969229"/>
      <w:bookmarkStart w:id="641" w:name="_Toc151193709"/>
      <w:bookmarkStart w:id="642" w:name="_Toc149720832"/>
      <w:bookmarkStart w:id="643" w:name="_Toc142311041"/>
      <w:bookmarkStart w:id="644" w:name="_Toc265228377"/>
      <w:bookmarkStart w:id="645" w:name="_Toc151193637"/>
      <w:bookmarkStart w:id="646" w:name="_Toc164229380"/>
      <w:bookmarkStart w:id="647" w:name="_Toc226309783"/>
      <w:bookmarkStart w:id="648" w:name="_Toc164351633"/>
      <w:bookmarkStart w:id="649" w:name="_Toc127161453"/>
      <w:bookmarkStart w:id="650" w:name="_Toc150509290"/>
      <w:bookmarkStart w:id="651" w:name="_Toc520356164"/>
      <w:bookmarkStart w:id="652" w:name="_Toc305158881"/>
      <w:bookmarkStart w:id="653" w:name="_Toc127151539"/>
      <w:bookmarkStart w:id="654" w:name="_Toc164608653"/>
      <w:bookmarkStart w:id="655" w:name="_Toc150774639"/>
      <w:bookmarkStart w:id="656" w:name="_Toc195842904"/>
      <w:bookmarkStart w:id="657" w:name="_Toc226337235"/>
      <w:bookmarkStart w:id="658" w:name="_Toc226965812"/>
      <w:bookmarkStart w:id="659" w:name="_Toc150480777"/>
      <w:bookmarkStart w:id="660" w:name="_Toc127151740"/>
      <w:bookmarkStart w:id="661" w:name="_Toc305158807"/>
      <w:bookmarkStart w:id="662" w:name="_Toc151193853"/>
      <w:bookmarkStart w:id="663" w:name="_Toc226965729"/>
      <w:bookmarkStart w:id="664" w:name="_Toc164608808"/>
      <w:bookmarkStart w:id="665" w:name="_Toc150774744"/>
      <w:bookmarkStart w:id="666" w:name="_Toc151193781"/>
      <w:bookmarkStart w:id="667" w:name="_Toc151190166"/>
      <w:bookmarkStart w:id="668" w:name="_Toc151193927"/>
      <w:r>
        <w:rPr>
          <w:sz w:val="24"/>
        </w:rPr>
        <w:t>开标</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pStyle w:val="120"/>
        <w:numPr>
          <w:ilvl w:val="0"/>
          <w:numId w:val="1"/>
        </w:numPr>
        <w:tabs>
          <w:tab w:val="left" w:pos="1080"/>
          <w:tab w:val="left" w:pos="1589"/>
          <w:tab w:val="left" w:pos="2014"/>
        </w:tabs>
        <w:snapToGrid w:val="0"/>
        <w:spacing w:line="360" w:lineRule="auto"/>
        <w:ind w:firstLineChars="0"/>
        <w:rPr>
          <w:rFonts w:ascii="Times New Roman" w:hAnsi="Times New Roman"/>
          <w:vanish/>
          <w:sz w:val="24"/>
          <w:szCs w:val="24"/>
        </w:rPr>
      </w:pPr>
      <w:bookmarkStart w:id="669" w:name="_Toc426056747"/>
      <w:bookmarkStart w:id="670" w:name="_Toc406595766"/>
      <w:bookmarkStart w:id="671" w:name="_Toc428539235"/>
      <w:bookmarkStart w:id="672" w:name="_Toc407613150"/>
      <w:bookmarkStart w:id="673" w:name="_Toc407612781"/>
      <w:bookmarkStart w:id="674" w:name="_Toc427312936"/>
      <w:bookmarkStart w:id="675" w:name="_Toc33442380"/>
      <w:bookmarkStart w:id="676" w:name="_Toc497114333"/>
      <w:bookmarkStart w:id="677" w:name="_Toc67559641"/>
      <w:bookmarkStart w:id="678" w:name="_Toc497367729"/>
      <w:bookmarkStart w:id="679" w:name="_Toc68707538"/>
      <w:bookmarkStart w:id="680" w:name="_Toc63776935"/>
      <w:bookmarkStart w:id="681" w:name="_Toc450826756"/>
    </w:p>
    <w:p>
      <w:pPr>
        <w:numPr>
          <w:ilvl w:val="1"/>
          <w:numId w:val="1"/>
        </w:numPr>
        <w:tabs>
          <w:tab w:val="left" w:pos="1080"/>
          <w:tab w:val="left" w:pos="1378"/>
          <w:tab w:val="left" w:pos="2014"/>
          <w:tab w:val="clear" w:pos="1589"/>
        </w:tabs>
        <w:snapToGrid w:val="0"/>
        <w:spacing w:line="360" w:lineRule="auto"/>
        <w:ind w:left="1257"/>
        <w:rPr>
          <w:sz w:val="24"/>
        </w:rPr>
      </w:pPr>
      <w:r>
        <w:rPr>
          <w:sz w:val="24"/>
        </w:rPr>
        <w:t>采购人或采购代理机构应当按招标公告或投标邀请书的规定，在投标截止时间的同一时间和招标公告或投标邀请书预先确定的地点组织公开开标。开标时邀请所有投标人代表、采购人和有关方面代表参加，评标委员会成员不得参加开标活动。参加开标的代表应签名报到以证明其出席。</w:t>
      </w:r>
      <w:bookmarkEnd w:id="669"/>
      <w:bookmarkEnd w:id="670"/>
      <w:bookmarkEnd w:id="671"/>
      <w:bookmarkEnd w:id="672"/>
      <w:bookmarkEnd w:id="673"/>
      <w:bookmarkEnd w:id="674"/>
      <w:r>
        <w:rPr>
          <w:sz w:val="24"/>
        </w:rPr>
        <w:t>投标人因故不能派代表出席开标活动，事先应书面（信函、传真）通知采购人或采购代理机构，并承诺默认开标结果。</w:t>
      </w:r>
      <w:bookmarkEnd w:id="675"/>
      <w:bookmarkEnd w:id="676"/>
      <w:bookmarkEnd w:id="677"/>
      <w:bookmarkEnd w:id="678"/>
      <w:bookmarkEnd w:id="679"/>
      <w:bookmarkEnd w:id="680"/>
      <w:bookmarkEnd w:id="681"/>
    </w:p>
    <w:p>
      <w:pPr>
        <w:numPr>
          <w:ilvl w:val="1"/>
          <w:numId w:val="1"/>
        </w:numPr>
        <w:tabs>
          <w:tab w:val="left" w:pos="1080"/>
          <w:tab w:val="left" w:pos="2014"/>
        </w:tabs>
        <w:snapToGrid w:val="0"/>
        <w:spacing w:line="360" w:lineRule="auto"/>
        <w:ind w:left="1077" w:hanging="720"/>
        <w:rPr>
          <w:sz w:val="24"/>
        </w:rPr>
      </w:pPr>
      <w:bookmarkStart w:id="682" w:name="_Toc497367730"/>
      <w:bookmarkStart w:id="683" w:name="_Toc428539236"/>
      <w:bookmarkStart w:id="684" w:name="_Toc450826757"/>
      <w:bookmarkStart w:id="685" w:name="_Toc426056748"/>
      <w:bookmarkStart w:id="686" w:name="_Toc63776936"/>
      <w:bookmarkStart w:id="687" w:name="_Toc68707539"/>
      <w:bookmarkStart w:id="688" w:name="_Toc67559642"/>
      <w:bookmarkStart w:id="689" w:name="_Toc427312937"/>
      <w:bookmarkStart w:id="690" w:name="_Toc497114334"/>
      <w:bookmarkStart w:id="691" w:name="_Toc33442381"/>
      <w:r>
        <w:rPr>
          <w:sz w:val="24"/>
        </w:rPr>
        <w:t>开标时，由投标人或其推选的代表检查投标文件的密封情况，经确认无误后，由采购代理机构当众拆封并宣读投标人名称、投标价格、投标价格优惠声明（如有）、书面修改和撤回投标的通知、是否提交了投标保证金等。对于投标人在投标截止期前递交的投标声明，在开标时当众宣读，评标时有效。</w:t>
      </w:r>
      <w:bookmarkEnd w:id="682"/>
      <w:bookmarkEnd w:id="683"/>
      <w:bookmarkEnd w:id="684"/>
      <w:bookmarkEnd w:id="685"/>
      <w:bookmarkEnd w:id="686"/>
      <w:bookmarkEnd w:id="687"/>
      <w:bookmarkEnd w:id="688"/>
      <w:bookmarkEnd w:id="689"/>
      <w:bookmarkEnd w:id="690"/>
      <w:bookmarkEnd w:id="691"/>
    </w:p>
    <w:p>
      <w:pPr>
        <w:numPr>
          <w:ilvl w:val="1"/>
          <w:numId w:val="1"/>
        </w:numPr>
        <w:tabs>
          <w:tab w:val="left" w:pos="1080"/>
          <w:tab w:val="left" w:pos="2014"/>
        </w:tabs>
        <w:snapToGrid w:val="0"/>
        <w:spacing w:line="360" w:lineRule="auto"/>
        <w:ind w:left="1077" w:hanging="720"/>
        <w:rPr>
          <w:sz w:val="24"/>
        </w:rPr>
      </w:pPr>
      <w:bookmarkStart w:id="692" w:name="_Toc68707540"/>
      <w:bookmarkStart w:id="693" w:name="_Toc497114335"/>
      <w:bookmarkStart w:id="694" w:name="_Toc63776937"/>
      <w:bookmarkStart w:id="695" w:name="_Toc497367731"/>
      <w:bookmarkStart w:id="696" w:name="_Toc33442382"/>
      <w:bookmarkStart w:id="697" w:name="_Toc67559643"/>
      <w:r>
        <w:rPr>
          <w:sz w:val="24"/>
        </w:rPr>
        <w:t>投标人不足3家的，不得开标。</w:t>
      </w:r>
      <w:bookmarkEnd w:id="692"/>
      <w:bookmarkEnd w:id="693"/>
      <w:bookmarkEnd w:id="694"/>
      <w:bookmarkEnd w:id="695"/>
      <w:bookmarkEnd w:id="696"/>
      <w:bookmarkEnd w:id="697"/>
    </w:p>
    <w:p>
      <w:pPr>
        <w:numPr>
          <w:ilvl w:val="1"/>
          <w:numId w:val="1"/>
        </w:numPr>
        <w:tabs>
          <w:tab w:val="left" w:pos="1080"/>
          <w:tab w:val="left" w:pos="2014"/>
        </w:tabs>
        <w:snapToGrid w:val="0"/>
        <w:spacing w:line="360" w:lineRule="auto"/>
        <w:ind w:left="1077" w:hanging="720"/>
        <w:rPr>
          <w:sz w:val="24"/>
        </w:rPr>
      </w:pPr>
      <w:bookmarkStart w:id="698" w:name="_Toc33442383"/>
      <w:bookmarkStart w:id="699" w:name="_Toc497367732"/>
      <w:bookmarkStart w:id="700" w:name="_Toc428539237"/>
      <w:bookmarkStart w:id="701" w:name="_Toc67559644"/>
      <w:bookmarkStart w:id="702" w:name="_Toc68707541"/>
      <w:bookmarkStart w:id="703" w:name="_Toc427312938"/>
      <w:bookmarkStart w:id="704" w:name="_Toc426056749"/>
      <w:bookmarkStart w:id="705" w:name="_Toc450826758"/>
      <w:bookmarkStart w:id="706" w:name="_Toc63776938"/>
      <w:bookmarkStart w:id="707" w:name="_Toc497114336"/>
      <w:r>
        <w:rPr>
          <w:sz w:val="24"/>
        </w:rPr>
        <w:t>除了按照本须知的规定原封退回迟到的投标文件、未密封或密封不完好的投标文件之外，开标时将不得拒绝任何投标。</w:t>
      </w:r>
      <w:bookmarkEnd w:id="698"/>
      <w:bookmarkEnd w:id="699"/>
      <w:bookmarkEnd w:id="700"/>
      <w:bookmarkEnd w:id="701"/>
      <w:bookmarkEnd w:id="702"/>
      <w:bookmarkEnd w:id="703"/>
      <w:bookmarkEnd w:id="704"/>
      <w:bookmarkEnd w:id="705"/>
      <w:bookmarkEnd w:id="706"/>
      <w:bookmarkEnd w:id="707"/>
    </w:p>
    <w:p>
      <w:pPr>
        <w:numPr>
          <w:ilvl w:val="1"/>
          <w:numId w:val="1"/>
        </w:numPr>
        <w:tabs>
          <w:tab w:val="left" w:pos="1080"/>
          <w:tab w:val="left" w:pos="2014"/>
        </w:tabs>
        <w:snapToGrid w:val="0"/>
        <w:spacing w:line="360" w:lineRule="auto"/>
        <w:ind w:left="1077" w:hanging="720"/>
        <w:rPr>
          <w:sz w:val="24"/>
        </w:rPr>
      </w:pPr>
      <w:bookmarkStart w:id="708" w:name="_Toc407613153"/>
      <w:bookmarkStart w:id="709" w:name="_Toc67559645"/>
      <w:bookmarkStart w:id="710" w:name="_Toc406595769"/>
      <w:bookmarkStart w:id="711" w:name="_Toc427312939"/>
      <w:bookmarkStart w:id="712" w:name="_Toc428539238"/>
      <w:bookmarkStart w:id="713" w:name="_Toc450826759"/>
      <w:bookmarkStart w:id="714" w:name="_Toc68707542"/>
      <w:bookmarkStart w:id="715" w:name="_Toc497367733"/>
      <w:bookmarkStart w:id="716" w:name="_Toc497114337"/>
      <w:bookmarkStart w:id="717" w:name="_Toc426056750"/>
      <w:bookmarkStart w:id="718" w:name="_Toc407612784"/>
      <w:bookmarkStart w:id="719" w:name="_Toc33442384"/>
      <w:bookmarkStart w:id="720" w:name="_Toc63776939"/>
      <w:r>
        <w:rPr>
          <w:sz w:val="24"/>
        </w:rPr>
        <w:t>采购人或采购代理机构将对唱标内容做开标记录，由投标人代表和相关工作人员签字确认。</w:t>
      </w:r>
      <w:bookmarkEnd w:id="708"/>
      <w:bookmarkEnd w:id="709"/>
      <w:bookmarkEnd w:id="710"/>
      <w:bookmarkEnd w:id="711"/>
      <w:bookmarkEnd w:id="712"/>
      <w:bookmarkEnd w:id="713"/>
      <w:bookmarkEnd w:id="714"/>
      <w:bookmarkEnd w:id="715"/>
      <w:bookmarkEnd w:id="716"/>
      <w:bookmarkEnd w:id="717"/>
      <w:bookmarkEnd w:id="718"/>
      <w:bookmarkEnd w:id="719"/>
      <w:bookmarkEnd w:id="720"/>
    </w:p>
    <w:p>
      <w:pPr>
        <w:numPr>
          <w:ilvl w:val="1"/>
          <w:numId w:val="1"/>
        </w:numPr>
        <w:tabs>
          <w:tab w:val="left" w:pos="1080"/>
          <w:tab w:val="left" w:pos="2014"/>
        </w:tabs>
        <w:snapToGrid w:val="0"/>
        <w:spacing w:line="360" w:lineRule="auto"/>
        <w:ind w:left="1077" w:hanging="720"/>
        <w:rPr>
          <w:sz w:val="24"/>
        </w:rPr>
      </w:pPr>
      <w:bookmarkStart w:id="721" w:name="_Toc497114338"/>
      <w:bookmarkStart w:id="722" w:name="_Toc33442385"/>
      <w:bookmarkStart w:id="723" w:name="_Toc497367734"/>
      <w:bookmarkStart w:id="724" w:name="_Toc67559646"/>
      <w:bookmarkStart w:id="725" w:name="_Toc63776940"/>
      <w:bookmarkStart w:id="726" w:name="_Toc68707543"/>
      <w:r>
        <w:rPr>
          <w:sz w:val="24"/>
        </w:rPr>
        <w:t>投标人代表对开标过程和开标记录有疑义，以及认为采购人或采购代理机构相关工作人员有需要回避的情形的，应当场提出询问或者回避申请。采购人或采购代理机构对投标人代表提出的询问或者回避申请应当及时处理。</w:t>
      </w:r>
      <w:bookmarkEnd w:id="721"/>
      <w:bookmarkEnd w:id="722"/>
      <w:bookmarkEnd w:id="723"/>
      <w:bookmarkEnd w:id="724"/>
      <w:bookmarkEnd w:id="725"/>
      <w:bookmarkEnd w:id="726"/>
    </w:p>
    <w:p>
      <w:pPr>
        <w:numPr>
          <w:ilvl w:val="1"/>
          <w:numId w:val="1"/>
        </w:numPr>
        <w:tabs>
          <w:tab w:val="left" w:pos="1080"/>
          <w:tab w:val="left" w:pos="2014"/>
        </w:tabs>
        <w:snapToGrid w:val="0"/>
        <w:spacing w:line="360" w:lineRule="auto"/>
        <w:ind w:left="1077" w:hanging="720"/>
        <w:rPr>
          <w:sz w:val="24"/>
        </w:rPr>
      </w:pPr>
      <w:bookmarkStart w:id="727" w:name="_Toc33442386"/>
      <w:bookmarkStart w:id="728" w:name="_Toc67559647"/>
      <w:bookmarkStart w:id="729" w:name="_Toc63776941"/>
      <w:bookmarkStart w:id="730" w:name="_Toc497114339"/>
      <w:bookmarkStart w:id="731" w:name="_Toc497367735"/>
      <w:bookmarkStart w:id="732" w:name="_Toc68707544"/>
      <w:r>
        <w:rPr>
          <w:sz w:val="24"/>
        </w:rPr>
        <w:t>开标结束后，采购人或采购代理机构应当依法对投标人的资格进行审查（见第三章资格审查相关要求）。合格投标人不足3家的，不得评标。</w:t>
      </w:r>
      <w:bookmarkEnd w:id="727"/>
      <w:bookmarkEnd w:id="728"/>
      <w:bookmarkEnd w:id="729"/>
      <w:bookmarkEnd w:id="730"/>
      <w:bookmarkEnd w:id="731"/>
      <w:bookmarkEnd w:id="732"/>
    </w:p>
    <w:p>
      <w:pPr>
        <w:numPr>
          <w:ilvl w:val="0"/>
          <w:numId w:val="5"/>
        </w:numPr>
        <w:tabs>
          <w:tab w:val="left" w:pos="360"/>
          <w:tab w:val="left" w:pos="900"/>
        </w:tabs>
        <w:snapToGrid w:val="0"/>
        <w:spacing w:line="360" w:lineRule="auto"/>
        <w:ind w:left="357" w:hanging="357"/>
        <w:outlineLvl w:val="1"/>
        <w:rPr>
          <w:sz w:val="24"/>
        </w:rPr>
      </w:pPr>
      <w:bookmarkStart w:id="733" w:name="_Toc520356165"/>
      <w:r>
        <w:rPr>
          <w:sz w:val="24"/>
        </w:rPr>
        <w:t>资格审查</w:t>
      </w:r>
    </w:p>
    <w:p>
      <w:pPr>
        <w:numPr>
          <w:ilvl w:val="1"/>
          <w:numId w:val="5"/>
        </w:numPr>
        <w:tabs>
          <w:tab w:val="left" w:pos="1080"/>
          <w:tab w:val="left" w:pos="1589"/>
          <w:tab w:val="left" w:pos="2014"/>
        </w:tabs>
        <w:snapToGrid w:val="0"/>
        <w:spacing w:line="360" w:lineRule="auto"/>
        <w:ind w:left="1077" w:hanging="720"/>
        <w:rPr>
          <w:sz w:val="24"/>
        </w:rPr>
      </w:pPr>
      <w:r>
        <w:rPr>
          <w:sz w:val="24"/>
        </w:rPr>
        <w:t>见第三章《资格审查》。</w:t>
      </w:r>
    </w:p>
    <w:bookmarkEnd w:id="733"/>
    <w:p>
      <w:pPr>
        <w:numPr>
          <w:ilvl w:val="0"/>
          <w:numId w:val="5"/>
        </w:numPr>
        <w:tabs>
          <w:tab w:val="left" w:pos="360"/>
          <w:tab w:val="left" w:pos="900"/>
        </w:tabs>
        <w:snapToGrid w:val="0"/>
        <w:spacing w:line="360" w:lineRule="auto"/>
        <w:ind w:left="357" w:hanging="357"/>
        <w:outlineLvl w:val="1"/>
        <w:rPr>
          <w:sz w:val="24"/>
        </w:rPr>
      </w:pPr>
      <w:bookmarkStart w:id="734" w:name="_Toc151193854"/>
      <w:bookmarkStart w:id="735" w:name="_Toc150774640"/>
      <w:bookmarkStart w:id="736" w:name="_Toc164351634"/>
      <w:bookmarkStart w:id="737" w:name="_Toc164229381"/>
      <w:bookmarkStart w:id="738" w:name="_Toc164608809"/>
      <w:bookmarkStart w:id="739" w:name="_Toc151193638"/>
      <w:bookmarkStart w:id="740" w:name="_Toc226309784"/>
      <w:bookmarkStart w:id="741" w:name="_Toc164229235"/>
      <w:bookmarkStart w:id="742" w:name="_Toc164608654"/>
      <w:bookmarkStart w:id="743" w:name="_Toc305158808"/>
      <w:bookmarkStart w:id="744" w:name="_Toc142311042"/>
      <w:bookmarkStart w:id="745" w:name="_Toc151193710"/>
      <w:bookmarkStart w:id="746" w:name="_Toc195842905"/>
      <w:bookmarkStart w:id="747" w:name="_Toc151193928"/>
      <w:bookmarkStart w:id="748" w:name="_Toc226965813"/>
      <w:bookmarkStart w:id="749" w:name="_Toc150480778"/>
      <w:bookmarkStart w:id="750" w:name="_Toc226337236"/>
      <w:bookmarkStart w:id="751" w:name="_Toc150774745"/>
      <w:bookmarkStart w:id="752" w:name="_Toc305158882"/>
      <w:bookmarkStart w:id="753" w:name="_Toc151193782"/>
      <w:bookmarkStart w:id="754" w:name="_Toc264969230"/>
      <w:bookmarkStart w:id="755" w:name="_Toc127161454"/>
      <w:bookmarkStart w:id="756" w:name="_Toc151190167"/>
      <w:bookmarkStart w:id="757" w:name="_Toc226965730"/>
      <w:bookmarkStart w:id="758" w:name="_Toc150509291"/>
      <w:bookmarkStart w:id="759" w:name="_Toc127151540"/>
      <w:bookmarkStart w:id="760" w:name="_Toc127151741"/>
      <w:bookmarkStart w:id="761" w:name="_Toc265228378"/>
      <w:bookmarkStart w:id="762" w:name="_Toc149720833"/>
      <w:r>
        <w:rPr>
          <w:sz w:val="24"/>
        </w:rPr>
        <w:t>评标委员会</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pPr>
        <w:numPr>
          <w:ilvl w:val="1"/>
          <w:numId w:val="5"/>
        </w:numPr>
        <w:tabs>
          <w:tab w:val="left" w:pos="1080"/>
          <w:tab w:val="left" w:pos="1589"/>
          <w:tab w:val="left" w:pos="2014"/>
        </w:tabs>
        <w:snapToGrid w:val="0"/>
        <w:spacing w:line="360" w:lineRule="auto"/>
        <w:ind w:left="1077" w:hanging="720"/>
        <w:rPr>
          <w:sz w:val="24"/>
        </w:rPr>
      </w:pPr>
      <w:r>
        <w:rPr>
          <w:sz w:val="24"/>
        </w:rPr>
        <w:t>评标委员会根据政府采购有关规定和本次招标采购项目的特点进行组建，并负责具体评标事务，独立履行职责。</w:t>
      </w:r>
      <w:bookmarkStart w:id="763" w:name="_Toc520356166"/>
    </w:p>
    <w:p>
      <w:pPr>
        <w:numPr>
          <w:ilvl w:val="1"/>
          <w:numId w:val="5"/>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763"/>
      <w:bookmarkStart w:id="764" w:name="_Toc520356169"/>
    </w:p>
    <w:p>
      <w:pPr>
        <w:numPr>
          <w:ilvl w:val="0"/>
          <w:numId w:val="5"/>
        </w:numPr>
        <w:tabs>
          <w:tab w:val="left" w:pos="360"/>
          <w:tab w:val="left" w:pos="900"/>
        </w:tabs>
        <w:snapToGrid w:val="0"/>
        <w:spacing w:line="360" w:lineRule="auto"/>
        <w:ind w:left="357" w:hanging="357"/>
        <w:outlineLvl w:val="1"/>
        <w:rPr>
          <w:sz w:val="24"/>
        </w:rPr>
      </w:pPr>
      <w:r>
        <w:rPr>
          <w:sz w:val="24"/>
        </w:rPr>
        <w:t>评标程序、评标方法和评标标准</w:t>
      </w:r>
    </w:p>
    <w:p>
      <w:pPr>
        <w:numPr>
          <w:ilvl w:val="1"/>
          <w:numId w:val="5"/>
        </w:numPr>
        <w:tabs>
          <w:tab w:val="left" w:pos="1080"/>
          <w:tab w:val="left" w:pos="1589"/>
          <w:tab w:val="left" w:pos="2014"/>
        </w:tabs>
        <w:snapToGrid w:val="0"/>
        <w:spacing w:line="360" w:lineRule="auto"/>
        <w:ind w:left="1077" w:hanging="720"/>
        <w:rPr>
          <w:sz w:val="24"/>
        </w:rPr>
      </w:pPr>
      <w:r>
        <w:rPr>
          <w:sz w:val="24"/>
        </w:rPr>
        <w:t>见第四章《评标程序、评标方法和评标标准》。</w:t>
      </w:r>
    </w:p>
    <w:p>
      <w:pPr>
        <w:tabs>
          <w:tab w:val="left" w:pos="360"/>
          <w:tab w:val="left" w:pos="1080"/>
        </w:tabs>
        <w:snapToGrid w:val="0"/>
        <w:spacing w:line="360" w:lineRule="auto"/>
        <w:ind w:left="1080"/>
        <w:rPr>
          <w:sz w:val="24"/>
        </w:rPr>
      </w:pPr>
    </w:p>
    <w:p>
      <w:pPr>
        <w:pStyle w:val="4"/>
        <w:spacing w:before="0" w:line="360" w:lineRule="auto"/>
        <w:rPr>
          <w:rFonts w:ascii="Times New Roman" w:hAnsi="Times New Roman" w:eastAsia="宋体"/>
          <w:sz w:val="28"/>
        </w:rPr>
      </w:pPr>
      <w:bookmarkStart w:id="765" w:name="_Toc150480783"/>
      <w:bookmarkStart w:id="766" w:name="_Toc226965735"/>
      <w:bookmarkStart w:id="767" w:name="_Toc142311047"/>
      <w:bookmarkStart w:id="768" w:name="_Toc226309789"/>
      <w:bookmarkStart w:id="769" w:name="_Toc151193643"/>
      <w:bookmarkStart w:id="770" w:name="_Toc226337241"/>
      <w:bookmarkStart w:id="771" w:name="_Toc151193715"/>
      <w:bookmarkStart w:id="772" w:name="_Toc150774750"/>
      <w:bookmarkStart w:id="773" w:name="_Toc305158887"/>
      <w:bookmarkStart w:id="774" w:name="_Toc195842910"/>
      <w:bookmarkStart w:id="775" w:name="_Toc150774645"/>
      <w:bookmarkStart w:id="776" w:name="_Toc305158813"/>
      <w:bookmarkStart w:id="777" w:name="_Toc151193787"/>
      <w:bookmarkStart w:id="778" w:name="_Toc127151545"/>
      <w:bookmarkStart w:id="779" w:name="_Toc226965818"/>
      <w:bookmarkStart w:id="780" w:name="_Toc264969235"/>
      <w:bookmarkStart w:id="781" w:name="_Toc151190172"/>
      <w:bookmarkStart w:id="782" w:name="_Toc151193859"/>
      <w:bookmarkStart w:id="783" w:name="_Toc151193933"/>
      <w:bookmarkStart w:id="784" w:name="_Toc265228383"/>
      <w:bookmarkStart w:id="785" w:name="_Toc150509296"/>
      <w:r>
        <w:rPr>
          <w:rFonts w:ascii="Times New Roman" w:hAnsi="Times New Roman" w:eastAsia="宋体"/>
          <w:sz w:val="28"/>
        </w:rPr>
        <w:t xml:space="preserve">六   </w:t>
      </w:r>
      <w:bookmarkEnd w:id="764"/>
      <w:r>
        <w:rPr>
          <w:rFonts w:ascii="Times New Roman" w:hAnsi="Times New Roman" w:eastAsia="宋体"/>
          <w:sz w:val="28"/>
        </w:rPr>
        <w:t>确定中标</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Start w:id="786" w:name="_Toc150774647"/>
      <w:bookmarkStart w:id="787" w:name="_Toc151193717"/>
      <w:bookmarkStart w:id="788" w:name="_Toc226965737"/>
      <w:bookmarkStart w:id="789" w:name="_Toc164229242"/>
      <w:bookmarkStart w:id="790" w:name="_Toc127161461"/>
      <w:bookmarkStart w:id="791" w:name="_Toc149720840"/>
      <w:bookmarkStart w:id="792" w:name="_Toc151193645"/>
      <w:bookmarkStart w:id="793" w:name="_Toc264969237"/>
      <w:bookmarkStart w:id="794" w:name="_Toc195842912"/>
      <w:bookmarkStart w:id="795" w:name="_Toc150509298"/>
      <w:bookmarkStart w:id="796" w:name="_Toc151193789"/>
      <w:bookmarkStart w:id="797" w:name="_Toc305158889"/>
      <w:bookmarkStart w:id="798" w:name="_Toc142311049"/>
      <w:bookmarkStart w:id="799" w:name="_Toc226337243"/>
      <w:bookmarkStart w:id="800" w:name="_Toc226309791"/>
      <w:bookmarkStart w:id="801" w:name="_Toc164229388"/>
      <w:bookmarkStart w:id="802" w:name="_Toc151193861"/>
      <w:bookmarkStart w:id="803" w:name="_Toc305158815"/>
      <w:bookmarkStart w:id="804" w:name="_Toc226965820"/>
      <w:bookmarkStart w:id="805" w:name="_Toc164608661"/>
      <w:bookmarkStart w:id="806" w:name="_Toc151190174"/>
      <w:bookmarkStart w:id="807" w:name="_Toc164351641"/>
      <w:bookmarkStart w:id="808" w:name="_Toc150480785"/>
      <w:bookmarkStart w:id="809" w:name="_Toc265228385"/>
      <w:bookmarkStart w:id="810" w:name="_Toc127151748"/>
      <w:bookmarkStart w:id="811" w:name="_Toc164608816"/>
      <w:bookmarkStart w:id="812" w:name="_Toc151193935"/>
      <w:bookmarkStart w:id="813" w:name="_Toc127151547"/>
      <w:bookmarkStart w:id="814" w:name="_Toc150774752"/>
    </w:p>
    <w:p>
      <w:pPr>
        <w:numPr>
          <w:ilvl w:val="0"/>
          <w:numId w:val="5"/>
        </w:numPr>
        <w:tabs>
          <w:tab w:val="left" w:pos="360"/>
          <w:tab w:val="left" w:pos="900"/>
        </w:tabs>
        <w:snapToGrid w:val="0"/>
        <w:spacing w:line="360" w:lineRule="auto"/>
        <w:ind w:left="357" w:hanging="357"/>
        <w:outlineLvl w:val="1"/>
        <w:rPr>
          <w:sz w:val="24"/>
        </w:rPr>
      </w:pPr>
      <w:r>
        <w:rPr>
          <w:sz w:val="24"/>
        </w:rPr>
        <w:t>确定中标人</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pPr>
        <w:numPr>
          <w:ilvl w:val="1"/>
          <w:numId w:val="5"/>
        </w:numPr>
        <w:tabs>
          <w:tab w:val="left" w:pos="1080"/>
          <w:tab w:val="left" w:pos="1589"/>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pPr>
        <w:numPr>
          <w:ilvl w:val="0"/>
          <w:numId w:val="5"/>
        </w:numPr>
        <w:tabs>
          <w:tab w:val="left" w:pos="360"/>
          <w:tab w:val="left" w:pos="900"/>
        </w:tabs>
        <w:snapToGrid w:val="0"/>
        <w:spacing w:line="360" w:lineRule="auto"/>
        <w:ind w:left="357" w:hanging="357"/>
        <w:outlineLvl w:val="1"/>
        <w:rPr>
          <w:sz w:val="24"/>
        </w:rPr>
      </w:pPr>
      <w:bookmarkStart w:id="815" w:name="_Toc305158817"/>
      <w:bookmarkStart w:id="816" w:name="_Toc305158891"/>
      <w:bookmarkStart w:id="817" w:name="_Toc127151750"/>
      <w:bookmarkStart w:id="818" w:name="_Toc226965822"/>
      <w:bookmarkStart w:id="819" w:name="_Toc164229244"/>
      <w:bookmarkStart w:id="820" w:name="_Toc151193647"/>
      <w:bookmarkStart w:id="821" w:name="_Toc195842914"/>
      <w:bookmarkStart w:id="822" w:name="_Toc264969239"/>
      <w:bookmarkStart w:id="823" w:name="_Toc226309793"/>
      <w:bookmarkStart w:id="824" w:name="_Toc151193863"/>
      <w:bookmarkStart w:id="825" w:name="_Toc226337245"/>
      <w:bookmarkStart w:id="826" w:name="_Toc142311051"/>
      <w:bookmarkStart w:id="827" w:name="_Toc151190176"/>
      <w:bookmarkStart w:id="828" w:name="_Toc150509300"/>
      <w:bookmarkStart w:id="829" w:name="_Toc150774754"/>
      <w:bookmarkStart w:id="830" w:name="_Toc164608663"/>
      <w:bookmarkStart w:id="831" w:name="_Toc265228387"/>
      <w:bookmarkStart w:id="832" w:name="_Toc226965739"/>
      <w:bookmarkStart w:id="833" w:name="_Toc151193791"/>
      <w:bookmarkStart w:id="834" w:name="_Toc127151549"/>
      <w:bookmarkStart w:id="835" w:name="_Toc150480787"/>
      <w:bookmarkStart w:id="836" w:name="_Toc164351643"/>
      <w:bookmarkStart w:id="837" w:name="_Toc164229390"/>
      <w:bookmarkStart w:id="838" w:name="_Toc127161463"/>
      <w:bookmarkStart w:id="839" w:name="_Toc164608818"/>
      <w:bookmarkStart w:id="840" w:name="_Toc150774649"/>
      <w:bookmarkStart w:id="841" w:name="_Toc151193937"/>
      <w:bookmarkStart w:id="842" w:name="_Toc151193719"/>
      <w:bookmarkStart w:id="843" w:name="_Toc149720842"/>
      <w:bookmarkStart w:id="844" w:name="_Ref467306425"/>
      <w:bookmarkStart w:id="845" w:name="_Toc520356176"/>
      <w:bookmarkStart w:id="846" w:name="_Ref467307090"/>
      <w:r>
        <w:rPr>
          <w:sz w:val="24"/>
        </w:rPr>
        <w:t>中标公告与中标通知书</w:t>
      </w:r>
      <w:bookmarkEnd w:id="815"/>
      <w:bookmarkEnd w:id="816"/>
    </w:p>
    <w:p>
      <w:pPr>
        <w:numPr>
          <w:ilvl w:val="1"/>
          <w:numId w:val="5"/>
        </w:numPr>
        <w:tabs>
          <w:tab w:val="left" w:pos="1080"/>
          <w:tab w:val="left" w:pos="1589"/>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中标公告期限为1个工作日。</w:t>
      </w:r>
    </w:p>
    <w:p>
      <w:pPr>
        <w:numPr>
          <w:ilvl w:val="1"/>
          <w:numId w:val="5"/>
        </w:numPr>
        <w:tabs>
          <w:tab w:val="left" w:pos="1080"/>
          <w:tab w:val="left" w:pos="1589"/>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pPr>
        <w:numPr>
          <w:ilvl w:val="0"/>
          <w:numId w:val="5"/>
        </w:numPr>
        <w:tabs>
          <w:tab w:val="left" w:pos="360"/>
          <w:tab w:val="left" w:pos="900"/>
        </w:tabs>
        <w:snapToGrid w:val="0"/>
        <w:spacing w:line="360" w:lineRule="auto"/>
        <w:ind w:left="357" w:hanging="357"/>
        <w:outlineLvl w:val="1"/>
        <w:rPr>
          <w:sz w:val="24"/>
        </w:rPr>
      </w:pPr>
      <w:r>
        <w:rPr>
          <w:sz w:val="24"/>
        </w:rPr>
        <w:t>废标</w:t>
      </w:r>
    </w:p>
    <w:p>
      <w:pPr>
        <w:numPr>
          <w:ilvl w:val="1"/>
          <w:numId w:val="5"/>
        </w:numPr>
        <w:tabs>
          <w:tab w:val="left" w:pos="1080"/>
          <w:tab w:val="left" w:pos="1589"/>
          <w:tab w:val="left" w:pos="2014"/>
        </w:tabs>
        <w:snapToGrid w:val="0"/>
        <w:spacing w:line="360" w:lineRule="auto"/>
        <w:ind w:left="1077" w:hanging="720"/>
        <w:rPr>
          <w:sz w:val="24"/>
        </w:rPr>
      </w:pPr>
      <w:r>
        <w:rPr>
          <w:sz w:val="24"/>
        </w:rPr>
        <w:t>在招标采购中，出现下列情形之一的，应予废标：</w:t>
      </w:r>
    </w:p>
    <w:p>
      <w:pPr>
        <w:numPr>
          <w:ilvl w:val="2"/>
          <w:numId w:val="5"/>
        </w:numPr>
        <w:tabs>
          <w:tab w:val="left" w:pos="1980"/>
        </w:tabs>
        <w:snapToGrid w:val="0"/>
        <w:spacing w:line="360" w:lineRule="auto"/>
        <w:rPr>
          <w:sz w:val="24"/>
        </w:rPr>
      </w:pPr>
      <w:r>
        <w:rPr>
          <w:sz w:val="24"/>
        </w:rPr>
        <w:t>符合专业条件的供应商或者对招标文件作实质响应的供应商不足三家的；</w:t>
      </w:r>
    </w:p>
    <w:p>
      <w:pPr>
        <w:numPr>
          <w:ilvl w:val="2"/>
          <w:numId w:val="5"/>
        </w:numPr>
        <w:tabs>
          <w:tab w:val="left" w:pos="1980"/>
        </w:tabs>
        <w:snapToGrid w:val="0"/>
        <w:spacing w:line="360" w:lineRule="auto"/>
        <w:rPr>
          <w:sz w:val="24"/>
        </w:rPr>
      </w:pPr>
      <w:r>
        <w:rPr>
          <w:sz w:val="24"/>
        </w:rPr>
        <w:t>出现影响采购公正的违法、违规行为的；</w:t>
      </w:r>
    </w:p>
    <w:p>
      <w:pPr>
        <w:numPr>
          <w:ilvl w:val="2"/>
          <w:numId w:val="5"/>
        </w:numPr>
        <w:tabs>
          <w:tab w:val="left" w:pos="1980"/>
        </w:tabs>
        <w:snapToGrid w:val="0"/>
        <w:spacing w:line="360" w:lineRule="auto"/>
        <w:rPr>
          <w:sz w:val="24"/>
        </w:rPr>
      </w:pPr>
      <w:r>
        <w:rPr>
          <w:sz w:val="24"/>
        </w:rPr>
        <w:t>投标人的报价均超过了采购预算，采购人不能支付的；</w:t>
      </w:r>
    </w:p>
    <w:p>
      <w:pPr>
        <w:numPr>
          <w:ilvl w:val="2"/>
          <w:numId w:val="5"/>
        </w:numPr>
        <w:tabs>
          <w:tab w:val="left" w:pos="1980"/>
        </w:tabs>
        <w:snapToGrid w:val="0"/>
        <w:spacing w:line="360" w:lineRule="auto"/>
        <w:rPr>
          <w:sz w:val="24"/>
        </w:rPr>
      </w:pPr>
      <w:r>
        <w:rPr>
          <w:sz w:val="24"/>
        </w:rPr>
        <w:t>因重大变故，采购任务取消的。</w:t>
      </w:r>
    </w:p>
    <w:p>
      <w:pPr>
        <w:numPr>
          <w:ilvl w:val="1"/>
          <w:numId w:val="5"/>
        </w:numPr>
        <w:tabs>
          <w:tab w:val="left" w:pos="1080"/>
          <w:tab w:val="left" w:pos="1589"/>
          <w:tab w:val="left" w:pos="2014"/>
        </w:tabs>
        <w:snapToGrid w:val="0"/>
        <w:spacing w:line="360" w:lineRule="auto"/>
        <w:ind w:left="1077" w:hanging="720"/>
        <w:rPr>
          <w:sz w:val="24"/>
        </w:rPr>
      </w:pPr>
      <w:r>
        <w:rPr>
          <w:sz w:val="24"/>
        </w:rPr>
        <w:t>废标后，采购人将废标理由通知所有投标人。</w:t>
      </w:r>
    </w:p>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Pr>
        <w:numPr>
          <w:ilvl w:val="0"/>
          <w:numId w:val="5"/>
        </w:numPr>
        <w:tabs>
          <w:tab w:val="left" w:pos="360"/>
          <w:tab w:val="left" w:pos="900"/>
        </w:tabs>
        <w:snapToGrid w:val="0"/>
        <w:spacing w:line="360" w:lineRule="auto"/>
        <w:ind w:left="357" w:hanging="357"/>
        <w:outlineLvl w:val="1"/>
        <w:rPr>
          <w:sz w:val="24"/>
        </w:rPr>
      </w:pPr>
      <w:bookmarkStart w:id="847" w:name="_Toc149720843"/>
      <w:bookmarkStart w:id="848" w:name="_Toc150774650"/>
      <w:bookmarkStart w:id="849" w:name="_Toc305158818"/>
      <w:bookmarkStart w:id="850" w:name="_Toc151193938"/>
      <w:bookmarkStart w:id="851" w:name="_Toc151190177"/>
      <w:bookmarkStart w:id="852" w:name="_Toc226337246"/>
      <w:bookmarkStart w:id="853" w:name="_Toc151193864"/>
      <w:bookmarkStart w:id="854" w:name="_Toc164608819"/>
      <w:bookmarkStart w:id="855" w:name="_Toc151193720"/>
      <w:bookmarkStart w:id="856" w:name="_Ref467307062"/>
      <w:bookmarkStart w:id="857" w:name="_Toc150774755"/>
      <w:bookmarkStart w:id="858" w:name="_Ref467306377"/>
      <w:bookmarkStart w:id="859" w:name="_Toc142311052"/>
      <w:bookmarkStart w:id="860" w:name="_Toc127161464"/>
      <w:bookmarkStart w:id="861" w:name="_Toc226965823"/>
      <w:bookmarkStart w:id="862" w:name="_Toc164229391"/>
      <w:bookmarkStart w:id="863" w:name="_Toc265228388"/>
      <w:bookmarkStart w:id="864" w:name="_Toc164608664"/>
      <w:bookmarkStart w:id="865" w:name="_Toc264969240"/>
      <w:bookmarkStart w:id="866" w:name="_Toc127151550"/>
      <w:bookmarkStart w:id="867" w:name="_Toc150480788"/>
      <w:bookmarkStart w:id="868" w:name="_Toc226965740"/>
      <w:bookmarkStart w:id="869" w:name="_Toc151193648"/>
      <w:bookmarkStart w:id="870" w:name="_Toc164229245"/>
      <w:bookmarkStart w:id="871" w:name="_Toc305158892"/>
      <w:bookmarkStart w:id="872" w:name="_Toc164351644"/>
      <w:bookmarkStart w:id="873" w:name="_Ref467307204"/>
      <w:bookmarkStart w:id="874" w:name="_Toc520356175"/>
      <w:bookmarkStart w:id="875" w:name="_Toc195842915"/>
      <w:bookmarkStart w:id="876" w:name="_Toc226309794"/>
      <w:bookmarkStart w:id="877" w:name="_Toc150509301"/>
      <w:bookmarkStart w:id="878" w:name="_Toc151193792"/>
      <w:bookmarkStart w:id="879" w:name="_Toc127151751"/>
      <w:bookmarkStart w:id="880" w:name="_Ref467306978"/>
      <w:r>
        <w:rPr>
          <w:sz w:val="24"/>
        </w:rPr>
        <w:t>签订合同</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pPr>
        <w:numPr>
          <w:ilvl w:val="1"/>
          <w:numId w:val="5"/>
        </w:numPr>
        <w:tabs>
          <w:tab w:val="left" w:pos="1080"/>
          <w:tab w:val="left" w:pos="1589"/>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5"/>
        </w:numPr>
        <w:tabs>
          <w:tab w:val="left" w:pos="1080"/>
          <w:tab w:val="left" w:pos="1589"/>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pPr>
        <w:numPr>
          <w:ilvl w:val="1"/>
          <w:numId w:val="5"/>
        </w:numPr>
        <w:tabs>
          <w:tab w:val="left" w:pos="1080"/>
          <w:tab w:val="left" w:pos="1589"/>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pPr>
        <w:numPr>
          <w:ilvl w:val="1"/>
          <w:numId w:val="5"/>
        </w:numPr>
        <w:tabs>
          <w:tab w:val="left" w:pos="1080"/>
          <w:tab w:val="left" w:pos="1589"/>
          <w:tab w:val="left" w:pos="2014"/>
        </w:tabs>
        <w:snapToGrid w:val="0"/>
        <w:spacing w:line="360" w:lineRule="auto"/>
        <w:ind w:left="1077" w:hanging="720"/>
        <w:rPr>
          <w:sz w:val="24"/>
        </w:rPr>
      </w:pPr>
      <w:r>
        <w:rPr>
          <w:sz w:val="24"/>
        </w:rPr>
        <w:t>政府采购合同不能转包。</w:t>
      </w:r>
    </w:p>
    <w:p>
      <w:pPr>
        <w:numPr>
          <w:ilvl w:val="1"/>
          <w:numId w:val="5"/>
        </w:numPr>
        <w:tabs>
          <w:tab w:val="left" w:pos="1080"/>
          <w:tab w:val="left" w:pos="1589"/>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844"/>
    <w:bookmarkEnd w:id="845"/>
    <w:bookmarkEnd w:id="846"/>
    <w:p>
      <w:pPr>
        <w:numPr>
          <w:ilvl w:val="0"/>
          <w:numId w:val="5"/>
        </w:numPr>
        <w:tabs>
          <w:tab w:val="left" w:pos="360"/>
          <w:tab w:val="left" w:pos="900"/>
        </w:tabs>
        <w:snapToGrid w:val="0"/>
        <w:spacing w:line="360" w:lineRule="auto"/>
        <w:ind w:left="357" w:hanging="357"/>
        <w:outlineLvl w:val="1"/>
        <w:rPr>
          <w:sz w:val="24"/>
        </w:rPr>
      </w:pPr>
      <w:r>
        <w:rPr>
          <w:sz w:val="24"/>
        </w:rPr>
        <w:t>询问与质疑</w:t>
      </w:r>
    </w:p>
    <w:p>
      <w:pPr>
        <w:numPr>
          <w:ilvl w:val="1"/>
          <w:numId w:val="5"/>
        </w:numPr>
        <w:tabs>
          <w:tab w:val="left" w:pos="1080"/>
          <w:tab w:val="left" w:pos="1589"/>
          <w:tab w:val="left" w:pos="2014"/>
        </w:tabs>
        <w:snapToGrid w:val="0"/>
        <w:spacing w:line="360" w:lineRule="auto"/>
        <w:ind w:left="1077" w:hanging="720"/>
        <w:rPr>
          <w:sz w:val="24"/>
        </w:rPr>
      </w:pPr>
      <w:r>
        <w:rPr>
          <w:sz w:val="24"/>
        </w:rPr>
        <w:t>询问</w:t>
      </w:r>
    </w:p>
    <w:p>
      <w:pPr>
        <w:numPr>
          <w:ilvl w:val="2"/>
          <w:numId w:val="5"/>
        </w:numPr>
        <w:tabs>
          <w:tab w:val="left" w:pos="1980"/>
        </w:tabs>
        <w:snapToGrid w:val="0"/>
        <w:spacing w:line="360" w:lineRule="auto"/>
        <w:rPr>
          <w:sz w:val="24"/>
        </w:rPr>
      </w:pPr>
      <w:r>
        <w:rPr>
          <w:sz w:val="24"/>
        </w:rPr>
        <w:t>投标人对政府采购活动事项有疑问的，可依法提出询问，并按《投标人须知资料表》载明的形式送达采购人或采购代理机构。</w:t>
      </w:r>
    </w:p>
    <w:p>
      <w:pPr>
        <w:numPr>
          <w:ilvl w:val="2"/>
          <w:numId w:val="5"/>
        </w:numPr>
        <w:tabs>
          <w:tab w:val="left" w:pos="1980"/>
        </w:tabs>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5"/>
        </w:numPr>
        <w:tabs>
          <w:tab w:val="left" w:pos="1080"/>
          <w:tab w:val="left" w:pos="1589"/>
          <w:tab w:val="left" w:pos="2014"/>
        </w:tabs>
        <w:snapToGrid w:val="0"/>
        <w:spacing w:line="360" w:lineRule="auto"/>
        <w:ind w:left="1077" w:hanging="720"/>
        <w:rPr>
          <w:sz w:val="24"/>
        </w:rPr>
      </w:pPr>
      <w:r>
        <w:rPr>
          <w:sz w:val="24"/>
        </w:rPr>
        <w:t>质疑</w:t>
      </w:r>
    </w:p>
    <w:p>
      <w:pPr>
        <w:numPr>
          <w:ilvl w:val="2"/>
          <w:numId w:val="5"/>
        </w:numPr>
        <w:tabs>
          <w:tab w:val="left" w:pos="1980"/>
        </w:tabs>
        <w:snapToGrid w:val="0"/>
        <w:spacing w:line="360" w:lineRule="auto"/>
        <w:rPr>
          <w:sz w:val="24"/>
        </w:rPr>
      </w:pPr>
      <w:r>
        <w:rPr>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pPr>
        <w:numPr>
          <w:ilvl w:val="2"/>
          <w:numId w:val="5"/>
        </w:numPr>
        <w:tabs>
          <w:tab w:val="left" w:pos="1980"/>
        </w:tabs>
        <w:snapToGrid w:val="0"/>
        <w:spacing w:line="360" w:lineRule="auto"/>
        <w:rPr>
          <w:sz w:val="24"/>
        </w:rPr>
      </w:pPr>
      <w:r>
        <w:rPr>
          <w:sz w:val="24"/>
        </w:rPr>
        <w:t>质疑函须使用财政部制定的范本文件。</w:t>
      </w:r>
    </w:p>
    <w:p>
      <w:pPr>
        <w:numPr>
          <w:ilvl w:val="2"/>
          <w:numId w:val="5"/>
        </w:numPr>
        <w:tabs>
          <w:tab w:val="left" w:pos="1980"/>
        </w:tabs>
        <w:snapToGrid w:val="0"/>
        <w:spacing w:line="360" w:lineRule="auto"/>
        <w:rPr>
          <w:sz w:val="24"/>
        </w:rPr>
      </w:pPr>
      <w:r>
        <w:rPr>
          <w:sz w:val="24"/>
        </w:rPr>
        <w:t>投标人为自然人的，应当由本人签字；投标人为法人或者其他组织的，应当由法定代表人、主要负责人，或者其授权代表签字或者盖章，并加盖公章。</w:t>
      </w:r>
    </w:p>
    <w:p>
      <w:pPr>
        <w:numPr>
          <w:ilvl w:val="2"/>
          <w:numId w:val="5"/>
        </w:numPr>
        <w:tabs>
          <w:tab w:val="left" w:pos="1980"/>
        </w:tabs>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pPr>
        <w:numPr>
          <w:ilvl w:val="1"/>
          <w:numId w:val="5"/>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pPr>
        <w:numPr>
          <w:ilvl w:val="0"/>
          <w:numId w:val="5"/>
        </w:numPr>
        <w:tabs>
          <w:tab w:val="left" w:pos="360"/>
          <w:tab w:val="left" w:pos="900"/>
        </w:tabs>
        <w:snapToGrid w:val="0"/>
        <w:spacing w:line="360" w:lineRule="auto"/>
        <w:ind w:left="357" w:hanging="357"/>
        <w:outlineLvl w:val="1"/>
        <w:rPr>
          <w:sz w:val="24"/>
        </w:rPr>
      </w:pPr>
      <w:r>
        <w:rPr>
          <w:sz w:val="24"/>
        </w:rPr>
        <w:t>代理费</w:t>
      </w:r>
    </w:p>
    <w:p>
      <w:pPr>
        <w:numPr>
          <w:ilvl w:val="1"/>
          <w:numId w:val="5"/>
        </w:numPr>
        <w:tabs>
          <w:tab w:val="left" w:pos="1080"/>
          <w:tab w:val="left" w:pos="1589"/>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w:t>
      </w:r>
    </w:p>
    <w:p>
      <w:pPr>
        <w:tabs>
          <w:tab w:val="left" w:pos="900"/>
          <w:tab w:val="left" w:pos="1080"/>
          <w:tab w:val="left" w:pos="1589"/>
        </w:tabs>
        <w:snapToGrid w:val="0"/>
        <w:spacing w:line="360" w:lineRule="auto"/>
        <w:rPr>
          <w:sz w:val="24"/>
        </w:rPr>
      </w:pP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881" w:name="_Toc353873934"/>
      <w:bookmarkStart w:id="882" w:name="_Toc353873664"/>
      <w:bookmarkStart w:id="883" w:name="_Toc226965827"/>
      <w:bookmarkStart w:id="884" w:name="_Toc265228392"/>
      <w:bookmarkStart w:id="885" w:name="_Toc305158822"/>
      <w:bookmarkStart w:id="886" w:name="_Toc142311056"/>
      <w:bookmarkStart w:id="887" w:name="_Toc226337250"/>
      <w:bookmarkStart w:id="888" w:name="_Toc150480792"/>
      <w:bookmarkStart w:id="889" w:name="_Toc353825544"/>
      <w:bookmarkStart w:id="890" w:name="_Toc305158896"/>
      <w:bookmarkStart w:id="891" w:name="_Toc264969244"/>
      <w:bookmarkStart w:id="892" w:name="_Toc127151554"/>
      <w:bookmarkStart w:id="893" w:name="_Toc150774759"/>
      <w:r>
        <w:rPr>
          <w:sz w:val="24"/>
        </w:rPr>
        <w:br w:type="page"/>
      </w:r>
      <w:bookmarkStart w:id="894" w:name="_Toc7276"/>
      <w:r>
        <w:rPr>
          <w:b/>
          <w:sz w:val="36"/>
          <w:szCs w:val="36"/>
        </w:rPr>
        <w:t xml:space="preserve">第三章   </w:t>
      </w:r>
      <w:bookmarkEnd w:id="881"/>
      <w:bookmarkEnd w:id="882"/>
      <w:bookmarkEnd w:id="883"/>
      <w:bookmarkEnd w:id="884"/>
      <w:bookmarkEnd w:id="885"/>
      <w:bookmarkEnd w:id="886"/>
      <w:bookmarkEnd w:id="887"/>
      <w:bookmarkEnd w:id="888"/>
      <w:bookmarkEnd w:id="889"/>
      <w:bookmarkEnd w:id="890"/>
      <w:bookmarkEnd w:id="891"/>
      <w:bookmarkEnd w:id="892"/>
      <w:bookmarkEnd w:id="893"/>
      <w:r>
        <w:rPr>
          <w:b/>
          <w:sz w:val="36"/>
          <w:szCs w:val="36"/>
        </w:rPr>
        <w:t>资格审查</w:t>
      </w:r>
      <w:bookmarkEnd w:id="894"/>
      <w:bookmarkStart w:id="895" w:name="_Toc487900382"/>
    </w:p>
    <w:p>
      <w:pPr>
        <w:tabs>
          <w:tab w:val="left" w:pos="360"/>
          <w:tab w:val="left" w:pos="900"/>
        </w:tabs>
        <w:snapToGrid w:val="0"/>
        <w:spacing w:line="360" w:lineRule="auto"/>
        <w:jc w:val="center"/>
        <w:outlineLvl w:val="1"/>
        <w:rPr>
          <w:b/>
          <w:sz w:val="24"/>
        </w:rPr>
      </w:pPr>
      <w:bookmarkStart w:id="896" w:name="_Toc99301422"/>
      <w:r>
        <w:rPr>
          <w:b/>
          <w:sz w:val="24"/>
        </w:rPr>
        <w:t>一、资格审查程序</w:t>
      </w:r>
      <w:bookmarkEnd w:id="896"/>
    </w:p>
    <w:p>
      <w:pPr>
        <w:numPr>
          <w:ilvl w:val="0"/>
          <w:numId w:val="6"/>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pPr>
        <w:numPr>
          <w:ilvl w:val="0"/>
          <w:numId w:val="6"/>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pPr>
        <w:numPr>
          <w:ilvl w:val="0"/>
          <w:numId w:val="6"/>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pPr>
        <w:numPr>
          <w:ilvl w:val="0"/>
          <w:numId w:val="6"/>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pPr>
        <w:widowControl/>
        <w:jc w:val="left"/>
        <w:rPr>
          <w:sz w:val="24"/>
        </w:rPr>
      </w:pPr>
    </w:p>
    <w:p>
      <w:pPr>
        <w:tabs>
          <w:tab w:val="left" w:pos="360"/>
          <w:tab w:val="left" w:pos="900"/>
        </w:tabs>
        <w:snapToGrid w:val="0"/>
        <w:spacing w:line="360" w:lineRule="auto"/>
        <w:jc w:val="center"/>
        <w:outlineLvl w:val="1"/>
        <w:rPr>
          <w:b/>
          <w:sz w:val="24"/>
        </w:rPr>
      </w:pPr>
      <w:r>
        <w:rPr>
          <w:b/>
          <w:sz w:val="24"/>
        </w:rPr>
        <w:t>二、资格审查要求</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895"/>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sz w:val="24"/>
              </w:rPr>
            </w:pPr>
            <w:bookmarkStart w:id="897" w:name="_Hlt487972895"/>
            <w:bookmarkEnd w:id="897"/>
            <w:bookmarkStart w:id="898" w:name="_Toc353873940"/>
            <w:bookmarkStart w:id="899" w:name="_Toc127151779"/>
            <w:bookmarkStart w:id="900" w:name="_Toc226965858"/>
            <w:bookmarkStart w:id="901" w:name="_Toc353825550"/>
            <w:bookmarkStart w:id="902" w:name="_Toc127161490"/>
            <w:r>
              <w:rPr>
                <w:b/>
                <w:sz w:val="24"/>
              </w:rPr>
              <w:t>序号</w:t>
            </w:r>
          </w:p>
        </w:tc>
        <w:tc>
          <w:tcPr>
            <w:tcW w:w="1067" w:type="pct"/>
            <w:vAlign w:val="center"/>
          </w:tcPr>
          <w:p>
            <w:pPr>
              <w:tabs>
                <w:tab w:val="left" w:pos="1080"/>
              </w:tabs>
              <w:snapToGrid w:val="0"/>
              <w:jc w:val="center"/>
              <w:rPr>
                <w:b/>
                <w:sz w:val="24"/>
              </w:rPr>
            </w:pPr>
            <w:r>
              <w:rPr>
                <w:b/>
                <w:sz w:val="24"/>
              </w:rPr>
              <w:t>审查因素</w:t>
            </w:r>
          </w:p>
        </w:tc>
        <w:tc>
          <w:tcPr>
            <w:tcW w:w="2596" w:type="pct"/>
            <w:vAlign w:val="center"/>
          </w:tcPr>
          <w:p>
            <w:pPr>
              <w:tabs>
                <w:tab w:val="left" w:pos="1080"/>
              </w:tabs>
              <w:snapToGrid w:val="0"/>
              <w:jc w:val="center"/>
              <w:rPr>
                <w:b/>
                <w:sz w:val="24"/>
              </w:rPr>
            </w:pPr>
            <w:r>
              <w:rPr>
                <w:b/>
                <w:sz w:val="24"/>
              </w:rPr>
              <w:t>审查内容</w:t>
            </w:r>
          </w:p>
        </w:tc>
        <w:tc>
          <w:tcPr>
            <w:tcW w:w="882"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w:t>
            </w:r>
          </w:p>
        </w:tc>
        <w:tc>
          <w:tcPr>
            <w:tcW w:w="1067" w:type="pct"/>
            <w:vAlign w:val="center"/>
          </w:tcPr>
          <w:p>
            <w:pPr>
              <w:tabs>
                <w:tab w:val="left" w:pos="1080"/>
              </w:tabs>
              <w:snapToGrid w:val="0"/>
              <w:rPr>
                <w:sz w:val="24"/>
              </w:rPr>
            </w:pPr>
            <w:r>
              <w:rPr>
                <w:sz w:val="24"/>
              </w:rPr>
              <w:t>满足《中华人民共和国政府采购法》第二十二条规定及法律法规的其他规定</w:t>
            </w:r>
          </w:p>
        </w:tc>
        <w:tc>
          <w:tcPr>
            <w:tcW w:w="2596" w:type="pct"/>
            <w:vAlign w:val="center"/>
          </w:tcPr>
          <w:p>
            <w:pPr>
              <w:tabs>
                <w:tab w:val="left" w:pos="1080"/>
              </w:tabs>
              <w:snapToGrid w:val="0"/>
              <w:rPr>
                <w:sz w:val="24"/>
              </w:rPr>
            </w:pPr>
            <w:r>
              <w:rPr>
                <w:sz w:val="24"/>
              </w:rPr>
              <w:t>具体规定见第一章《投标邀请》</w:t>
            </w:r>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1-1</w:t>
            </w:r>
          </w:p>
        </w:tc>
        <w:tc>
          <w:tcPr>
            <w:tcW w:w="1067" w:type="pct"/>
            <w:vAlign w:val="center"/>
          </w:tcPr>
          <w:p>
            <w:pPr>
              <w:tabs>
                <w:tab w:val="left" w:pos="1080"/>
              </w:tabs>
              <w:snapToGrid w:val="0"/>
              <w:rPr>
                <w:sz w:val="24"/>
              </w:rPr>
            </w:pPr>
            <w:r>
              <w:rPr>
                <w:sz w:val="24"/>
              </w:rPr>
              <w:t>营业执照等证明文件</w:t>
            </w:r>
          </w:p>
        </w:tc>
        <w:tc>
          <w:tcPr>
            <w:tcW w:w="2596" w:type="pct"/>
            <w:vAlign w:val="center"/>
          </w:tcPr>
          <w:p>
            <w:pPr>
              <w:tabs>
                <w:tab w:val="left" w:pos="1080"/>
              </w:tabs>
              <w:snapToGrid w:val="0"/>
              <w:rPr>
                <w:sz w:val="24"/>
              </w:rPr>
            </w:pPr>
            <w:r>
              <w:rPr>
                <w:sz w:val="24"/>
              </w:rPr>
              <w:t>投标人为企业（包括合伙企业）的，应提供有效的“营业执照”；</w:t>
            </w:r>
          </w:p>
          <w:p>
            <w:pPr>
              <w:tabs>
                <w:tab w:val="left" w:pos="1080"/>
              </w:tabs>
              <w:snapToGrid w:val="0"/>
              <w:rPr>
                <w:sz w:val="24"/>
              </w:rPr>
            </w:pPr>
            <w:r>
              <w:rPr>
                <w:sz w:val="24"/>
              </w:rPr>
              <w:t>投标人为事业单位的，应提供有效的“事业单位法人证书”；</w:t>
            </w:r>
          </w:p>
          <w:p>
            <w:pPr>
              <w:tabs>
                <w:tab w:val="left" w:pos="1080"/>
              </w:tabs>
              <w:snapToGrid w:val="0"/>
              <w:rPr>
                <w:sz w:val="24"/>
              </w:rPr>
            </w:pPr>
            <w:r>
              <w:rPr>
                <w:rFonts w:hint="eastAsia"/>
                <w:sz w:val="24"/>
              </w:rPr>
              <w:t>投标人是非企业机构的，应提供有效的“执业许可证”、“登记证书”等证明文件；</w:t>
            </w:r>
          </w:p>
          <w:p>
            <w:pPr>
              <w:tabs>
                <w:tab w:val="left" w:pos="1080"/>
              </w:tabs>
              <w:snapToGrid w:val="0"/>
              <w:rPr>
                <w:sz w:val="24"/>
              </w:rPr>
            </w:pPr>
            <w:r>
              <w:rPr>
                <w:sz w:val="24"/>
              </w:rPr>
              <w:t>投标人是个体工商户的，应提供有效的“个体工商户营业执照”；</w:t>
            </w:r>
          </w:p>
          <w:p>
            <w:pPr>
              <w:tabs>
                <w:tab w:val="left" w:pos="1080"/>
              </w:tabs>
              <w:snapToGrid w:val="0"/>
              <w:rPr>
                <w:sz w:val="24"/>
              </w:rPr>
            </w:pPr>
            <w:r>
              <w:rPr>
                <w:sz w:val="24"/>
              </w:rPr>
              <w:t>投标人是自然人的，应提供有效的自然人身份证明。</w:t>
            </w:r>
          </w:p>
          <w:p>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pPr>
              <w:tabs>
                <w:tab w:val="left" w:pos="1080"/>
              </w:tabs>
              <w:snapToGrid w:val="0"/>
              <w:rPr>
                <w:sz w:val="24"/>
              </w:rPr>
            </w:pPr>
            <w:r>
              <w:rPr>
                <w:sz w:val="24"/>
              </w:rPr>
              <w:t>提供纸质证明文件并加盖公章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1-2</w:t>
            </w:r>
          </w:p>
        </w:tc>
        <w:tc>
          <w:tcPr>
            <w:tcW w:w="1067" w:type="pct"/>
            <w:vAlign w:val="center"/>
          </w:tcPr>
          <w:p>
            <w:pPr>
              <w:tabs>
                <w:tab w:val="left" w:pos="1080"/>
              </w:tabs>
              <w:snapToGrid w:val="0"/>
              <w:rPr>
                <w:sz w:val="24"/>
              </w:rPr>
            </w:pPr>
            <w:r>
              <w:rPr>
                <w:sz w:val="24"/>
              </w:rPr>
              <w:t>投标人资格声明书</w:t>
            </w:r>
          </w:p>
        </w:tc>
        <w:tc>
          <w:tcPr>
            <w:tcW w:w="2596" w:type="pct"/>
            <w:vAlign w:val="center"/>
          </w:tcPr>
          <w:p>
            <w:pPr>
              <w:tabs>
                <w:tab w:val="left" w:pos="1080"/>
              </w:tabs>
              <w:snapToGrid w:val="0"/>
              <w:rPr>
                <w:sz w:val="24"/>
              </w:rPr>
            </w:pPr>
            <w:r>
              <w:rPr>
                <w:sz w:val="24"/>
              </w:rPr>
              <w:t>提供了符合招标文件要求的《投标人资格声明书》。</w:t>
            </w:r>
          </w:p>
        </w:tc>
        <w:tc>
          <w:tcPr>
            <w:tcW w:w="882" w:type="pct"/>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rFonts w:hint="eastAsia"/>
                <w:sz w:val="24"/>
              </w:rPr>
              <w:t>1-</w:t>
            </w:r>
            <w:r>
              <w:rPr>
                <w:sz w:val="24"/>
              </w:rPr>
              <w:t>3</w:t>
            </w:r>
          </w:p>
        </w:tc>
        <w:tc>
          <w:tcPr>
            <w:tcW w:w="1067" w:type="pct"/>
            <w:vAlign w:val="center"/>
          </w:tcPr>
          <w:p>
            <w:pPr>
              <w:tabs>
                <w:tab w:val="left" w:pos="1080"/>
              </w:tabs>
              <w:snapToGrid w:val="0"/>
              <w:rPr>
                <w:sz w:val="24"/>
              </w:rPr>
            </w:pPr>
            <w:r>
              <w:rPr>
                <w:sz w:val="24"/>
              </w:rPr>
              <w:t>投标人信用记录</w:t>
            </w:r>
          </w:p>
        </w:tc>
        <w:tc>
          <w:tcPr>
            <w:tcW w:w="2596"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pPr>
              <w:tabs>
                <w:tab w:val="left" w:pos="1080"/>
              </w:tabs>
              <w:snapToGrid w:val="0"/>
              <w:rPr>
                <w:sz w:val="24"/>
              </w:rPr>
            </w:pPr>
            <w:r>
              <w:rPr>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w:t>
            </w:r>
          </w:p>
        </w:tc>
        <w:tc>
          <w:tcPr>
            <w:tcW w:w="1067" w:type="pct"/>
            <w:vAlign w:val="center"/>
          </w:tcPr>
          <w:p>
            <w:pPr>
              <w:tabs>
                <w:tab w:val="left" w:pos="1080"/>
              </w:tabs>
              <w:snapToGrid w:val="0"/>
              <w:rPr>
                <w:sz w:val="24"/>
              </w:rPr>
            </w:pPr>
            <w:r>
              <w:rPr>
                <w:sz w:val="24"/>
              </w:rPr>
              <w:t>落实政府采购政策需满足的资格要求</w:t>
            </w:r>
          </w:p>
        </w:tc>
        <w:tc>
          <w:tcPr>
            <w:tcW w:w="2596" w:type="pct"/>
            <w:vAlign w:val="center"/>
          </w:tcPr>
          <w:p>
            <w:pPr>
              <w:tabs>
                <w:tab w:val="left" w:pos="1080"/>
              </w:tabs>
              <w:snapToGrid w:val="0"/>
              <w:rPr>
                <w:sz w:val="24"/>
              </w:rPr>
            </w:pPr>
            <w:r>
              <w:rPr>
                <w:sz w:val="24"/>
              </w:rPr>
              <w:t>具体要求见第一章《投标邀请》</w:t>
            </w:r>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w:t>
            </w:r>
          </w:p>
        </w:tc>
        <w:tc>
          <w:tcPr>
            <w:tcW w:w="1067" w:type="pct"/>
            <w:vAlign w:val="center"/>
          </w:tcPr>
          <w:p>
            <w:pPr>
              <w:tabs>
                <w:tab w:val="left" w:pos="1080"/>
              </w:tabs>
              <w:snapToGrid w:val="0"/>
              <w:rPr>
                <w:sz w:val="24"/>
              </w:rPr>
            </w:pPr>
            <w:r>
              <w:rPr>
                <w:sz w:val="24"/>
              </w:rPr>
              <w:t>中小企业声明函</w:t>
            </w:r>
          </w:p>
        </w:tc>
        <w:tc>
          <w:tcPr>
            <w:tcW w:w="2596" w:type="pct"/>
            <w:vAlign w:val="center"/>
          </w:tcPr>
          <w:p>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pPr>
              <w:tabs>
                <w:tab w:val="left" w:pos="1080"/>
              </w:tabs>
              <w:snapToGrid w:val="0"/>
              <w:rPr>
                <w:sz w:val="24"/>
              </w:rPr>
            </w:pPr>
            <w:r>
              <w:rPr>
                <w:rFonts w:hint="eastAsia"/>
                <w:sz w:val="24"/>
              </w:rPr>
              <w:t>1、投标人单独投标的，应提供中小企业声明函；如为监狱企业或</w:t>
            </w:r>
            <w:r>
              <w:rPr>
                <w:sz w:val="24"/>
              </w:rPr>
              <w:t>残疾人福利性单位</w:t>
            </w:r>
            <w:r>
              <w:rPr>
                <w:rFonts w:hint="eastAsia"/>
                <w:sz w:val="24"/>
              </w:rPr>
              <w:t>，不必提供中小企业声明函，但须按注1或注2要求提供证明材料。</w:t>
            </w:r>
          </w:p>
          <w:p>
            <w:pPr>
              <w:tabs>
                <w:tab w:val="left" w:pos="1080"/>
              </w:tabs>
              <w:snapToGrid w:val="0"/>
              <w:rPr>
                <w:sz w:val="24"/>
              </w:rPr>
            </w:pPr>
            <w:r>
              <w:rPr>
                <w:rFonts w:hint="eastAsia"/>
                <w:sz w:val="24"/>
              </w:rPr>
              <w:t>2、如招标文件</w:t>
            </w:r>
            <w:r>
              <w:rPr>
                <w:sz w:val="24"/>
              </w:rPr>
              <w:t>要求以联合体形式参加或者要求合同分包的，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应在声明函中如实列明单位性质，并按注1或注2要求提供证明材料。</w:t>
            </w:r>
          </w:p>
          <w:p>
            <w:pPr>
              <w:tabs>
                <w:tab w:val="left" w:pos="1080"/>
              </w:tabs>
              <w:snapToGrid w:val="0"/>
              <w:rPr>
                <w:sz w:val="24"/>
              </w:rPr>
            </w:pPr>
          </w:p>
          <w:p>
            <w:pPr>
              <w:tabs>
                <w:tab w:val="left" w:pos="1080"/>
              </w:tabs>
              <w:snapToGrid w:val="0"/>
              <w:rPr>
                <w:sz w:val="24"/>
              </w:rPr>
            </w:pPr>
            <w:r>
              <w:rPr>
                <w:rFonts w:hint="eastAsia"/>
                <w:sz w:val="24"/>
              </w:rPr>
              <w:t>注1：</w:t>
            </w:r>
            <w:r>
              <w:rPr>
                <w:sz w:val="24"/>
              </w:rPr>
              <w:t>监狱企业须提供由省级以上监狱管理局（北京市含教育矫治局）、戒毒管理局（含新疆生产建设兵团）出具的属于监狱企业的证明文件。</w:t>
            </w:r>
          </w:p>
          <w:p>
            <w:pPr>
              <w:tabs>
                <w:tab w:val="left" w:pos="1080"/>
              </w:tabs>
              <w:snapToGrid w:val="0"/>
              <w:rPr>
                <w:sz w:val="24"/>
              </w:rPr>
            </w:pPr>
            <w:r>
              <w:rPr>
                <w:rFonts w:hint="eastAsia"/>
                <w:sz w:val="24"/>
              </w:rPr>
              <w:t>注2：</w:t>
            </w:r>
            <w:r>
              <w:rPr>
                <w:sz w:val="24"/>
              </w:rPr>
              <w:t>残疾人福利性单位须按招标文件要求提供《残疾人福利性单位声明函》。</w:t>
            </w:r>
          </w:p>
        </w:tc>
        <w:tc>
          <w:tcPr>
            <w:tcW w:w="882" w:type="pct"/>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2-2</w:t>
            </w:r>
          </w:p>
        </w:tc>
        <w:tc>
          <w:tcPr>
            <w:tcW w:w="1067" w:type="pct"/>
            <w:vAlign w:val="center"/>
          </w:tcPr>
          <w:p>
            <w:pPr>
              <w:tabs>
                <w:tab w:val="left" w:pos="1080"/>
              </w:tabs>
              <w:snapToGrid w:val="0"/>
              <w:rPr>
                <w:sz w:val="24"/>
              </w:rPr>
            </w:pPr>
            <w:r>
              <w:rPr>
                <w:sz w:val="24"/>
              </w:rPr>
              <w:t>拟分包情况说明及分包意向协议（类型一）</w:t>
            </w:r>
          </w:p>
          <w:p>
            <w:pPr>
              <w:tabs>
                <w:tab w:val="left" w:pos="1080"/>
              </w:tabs>
              <w:snapToGrid w:val="0"/>
              <w:rPr>
                <w:b/>
                <w:sz w:val="24"/>
              </w:rPr>
            </w:pPr>
          </w:p>
        </w:tc>
        <w:tc>
          <w:tcPr>
            <w:tcW w:w="2596" w:type="pct"/>
            <w:vAlign w:val="center"/>
          </w:tcPr>
          <w:p>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2-3</w:t>
            </w:r>
          </w:p>
        </w:tc>
        <w:tc>
          <w:tcPr>
            <w:tcW w:w="1067" w:type="pct"/>
            <w:vAlign w:val="center"/>
          </w:tcPr>
          <w:p>
            <w:pPr>
              <w:tabs>
                <w:tab w:val="left" w:pos="1080"/>
              </w:tabs>
              <w:snapToGrid w:val="0"/>
              <w:rPr>
                <w:sz w:val="24"/>
              </w:rPr>
            </w:pPr>
            <w:r>
              <w:rPr>
                <w:sz w:val="24"/>
              </w:rPr>
              <w:t>其它落实政府采购政策的资格要求</w:t>
            </w:r>
          </w:p>
        </w:tc>
        <w:tc>
          <w:tcPr>
            <w:tcW w:w="2596" w:type="pct"/>
            <w:vAlign w:val="center"/>
          </w:tcPr>
          <w:p>
            <w:pPr>
              <w:tabs>
                <w:tab w:val="left" w:pos="1080"/>
              </w:tabs>
              <w:snapToGrid w:val="0"/>
              <w:rPr>
                <w:sz w:val="24"/>
              </w:rPr>
            </w:pPr>
            <w:r>
              <w:rPr>
                <w:sz w:val="24"/>
              </w:rPr>
              <w:t>如有，见第一章《投标邀请》</w:t>
            </w:r>
          </w:p>
        </w:tc>
        <w:tc>
          <w:tcPr>
            <w:tcW w:w="882" w:type="pct"/>
            <w:vAlign w:val="center"/>
          </w:tcPr>
          <w:p>
            <w:pPr>
              <w:tabs>
                <w:tab w:val="left" w:pos="1080"/>
              </w:tabs>
              <w:snapToGrid w:val="0"/>
              <w:rPr>
                <w:sz w:val="24"/>
              </w:rPr>
            </w:pPr>
            <w:r>
              <w:rPr>
                <w:rFonts w:hint="eastAsia"/>
                <w:sz w:val="24"/>
              </w:rPr>
              <w:t>提供纸质证明文件并加盖公章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w:t>
            </w:r>
          </w:p>
        </w:tc>
        <w:tc>
          <w:tcPr>
            <w:tcW w:w="1067" w:type="pct"/>
            <w:vAlign w:val="center"/>
          </w:tcPr>
          <w:p>
            <w:pPr>
              <w:tabs>
                <w:tab w:val="left" w:pos="1080"/>
              </w:tabs>
              <w:snapToGrid w:val="0"/>
              <w:rPr>
                <w:sz w:val="24"/>
              </w:rPr>
            </w:pPr>
            <w:r>
              <w:rPr>
                <w:sz w:val="24"/>
              </w:rPr>
              <w:t>本项目的特定资格要求</w:t>
            </w:r>
          </w:p>
        </w:tc>
        <w:tc>
          <w:tcPr>
            <w:tcW w:w="2596" w:type="pct"/>
            <w:vAlign w:val="center"/>
          </w:tcPr>
          <w:p>
            <w:pPr>
              <w:tabs>
                <w:tab w:val="left" w:pos="1080"/>
              </w:tabs>
              <w:snapToGrid w:val="0"/>
              <w:rPr>
                <w:sz w:val="24"/>
              </w:rPr>
            </w:pPr>
            <w:r>
              <w:rPr>
                <w:sz w:val="24"/>
              </w:rPr>
              <w:t>如有，见第一章《投标邀请》</w:t>
            </w:r>
          </w:p>
        </w:tc>
        <w:tc>
          <w:tcPr>
            <w:tcW w:w="882"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455" w:type="pct"/>
            <w:vAlign w:val="center"/>
          </w:tcPr>
          <w:p>
            <w:pPr>
              <w:tabs>
                <w:tab w:val="left" w:pos="1080"/>
              </w:tabs>
              <w:snapToGrid w:val="0"/>
              <w:jc w:val="center"/>
              <w:rPr>
                <w:sz w:val="24"/>
              </w:rPr>
            </w:pPr>
            <w:r>
              <w:rPr>
                <w:sz w:val="24"/>
              </w:rPr>
              <w:t>3-1</w:t>
            </w:r>
          </w:p>
        </w:tc>
        <w:tc>
          <w:tcPr>
            <w:tcW w:w="1067" w:type="pct"/>
            <w:vAlign w:val="center"/>
          </w:tcPr>
          <w:p>
            <w:pPr>
              <w:tabs>
                <w:tab w:val="left" w:pos="1080"/>
              </w:tabs>
              <w:snapToGrid w:val="0"/>
              <w:rPr>
                <w:sz w:val="24"/>
              </w:rPr>
            </w:pPr>
            <w:r>
              <w:rPr>
                <w:sz w:val="24"/>
              </w:rPr>
              <w:t>是否接受联合体投标</w:t>
            </w:r>
          </w:p>
        </w:tc>
        <w:tc>
          <w:tcPr>
            <w:tcW w:w="2596" w:type="pct"/>
            <w:vAlign w:val="center"/>
          </w:tcPr>
          <w:p>
            <w:pPr>
              <w:tabs>
                <w:tab w:val="left" w:pos="1080"/>
              </w:tabs>
              <w:snapToGrid w:val="0"/>
              <w:rPr>
                <w:sz w:val="24"/>
              </w:rPr>
            </w:pPr>
            <w:r>
              <w:rPr>
                <w:sz w:val="24"/>
              </w:rPr>
              <w:t>1、如本项目接受联合体投标，且投标人为联合体时必须提供《联合协议》，明确各方拟承担的工作和责任，并指定联合体牵头人，授权其代表所有联合体成员负责本项目投标和合同实施阶段的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pPr>
              <w:tabs>
                <w:tab w:val="left" w:pos="1080"/>
              </w:tabs>
              <w:snapToGrid w:val="0"/>
              <w:rPr>
                <w:sz w:val="24"/>
              </w:rPr>
            </w:pPr>
            <w:r>
              <w:rPr>
                <w:sz w:val="24"/>
              </w:rPr>
              <w:t>2、</w:t>
            </w:r>
            <w:r>
              <w:rPr>
                <w:rFonts w:hint="eastAsia"/>
                <w:sz w:val="24"/>
              </w:rPr>
              <w:t>联合体各成员单位均须提供本表中序号1-1、1-2的证明文件。</w:t>
            </w:r>
          </w:p>
          <w:p>
            <w:pPr>
              <w:tabs>
                <w:tab w:val="left" w:pos="1080"/>
              </w:tabs>
              <w:snapToGrid w:val="0"/>
              <w:rPr>
                <w:sz w:val="24"/>
              </w:rPr>
            </w:pPr>
            <w:r>
              <w:rPr>
                <w:rFonts w:hint="eastAsia"/>
                <w:sz w:val="24"/>
              </w:rPr>
              <w:t>3、本表序号3-2项规定的其他特定资格要求中的每一小项要求，联合体各方中至少应当有一方符合本表中其他资格要求并提供证明文件。</w:t>
            </w:r>
          </w:p>
          <w:p>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投标无效</w:t>
            </w:r>
            <w:r>
              <w:rPr>
                <w:sz w:val="24"/>
              </w:rPr>
              <w:t>。</w:t>
            </w:r>
          </w:p>
          <w:p>
            <w:pPr>
              <w:tabs>
                <w:tab w:val="left" w:pos="1080"/>
              </w:tabs>
              <w:snapToGrid w:val="0"/>
              <w:rPr>
                <w:sz w:val="24"/>
              </w:rPr>
            </w:pPr>
            <w:r>
              <w:rPr>
                <w:sz w:val="24"/>
              </w:rPr>
              <w:t>7、本项目不接受联合体投标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pPr>
              <w:tabs>
                <w:tab w:val="left" w:pos="1080"/>
              </w:tabs>
              <w:snapToGrid w:val="0"/>
              <w:rPr>
                <w:sz w:val="24"/>
              </w:rPr>
            </w:pPr>
            <w:r>
              <w:rPr>
                <w:sz w:val="24"/>
              </w:rPr>
              <w:t>提供《联合协议》</w:t>
            </w:r>
            <w:r>
              <w:rPr>
                <w:rFonts w:hint="eastAsia"/>
                <w:sz w:val="24"/>
              </w:rPr>
              <w:t>原</w:t>
            </w:r>
            <w:r>
              <w:rPr>
                <w:sz w:val="24"/>
              </w:rPr>
              <w:t>件的</w:t>
            </w:r>
            <w:r>
              <w:rPr>
                <w:rFonts w:hint="eastAsia"/>
                <w:sz w:val="24"/>
              </w:rPr>
              <w:t>纸质版</w:t>
            </w:r>
          </w:p>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pPr>
              <w:tabs>
                <w:tab w:val="left" w:pos="1080"/>
              </w:tabs>
              <w:snapToGrid w:val="0"/>
              <w:jc w:val="center"/>
              <w:rPr>
                <w:sz w:val="24"/>
              </w:rPr>
            </w:pPr>
            <w:r>
              <w:rPr>
                <w:sz w:val="24"/>
              </w:rPr>
              <w:t>3-2</w:t>
            </w:r>
          </w:p>
        </w:tc>
        <w:tc>
          <w:tcPr>
            <w:tcW w:w="1067" w:type="pct"/>
            <w:vAlign w:val="center"/>
          </w:tcPr>
          <w:p>
            <w:pPr>
              <w:tabs>
                <w:tab w:val="left" w:pos="1080"/>
              </w:tabs>
              <w:snapToGrid w:val="0"/>
              <w:rPr>
                <w:sz w:val="24"/>
              </w:rPr>
            </w:pPr>
            <w:r>
              <w:rPr>
                <w:sz w:val="24"/>
              </w:rPr>
              <w:t>其他特定资格要求</w:t>
            </w:r>
          </w:p>
        </w:tc>
        <w:tc>
          <w:tcPr>
            <w:tcW w:w="2596" w:type="pct"/>
            <w:vAlign w:val="center"/>
          </w:tcPr>
          <w:p>
            <w:pPr>
              <w:tabs>
                <w:tab w:val="left" w:pos="1080"/>
              </w:tabs>
              <w:snapToGrid w:val="0"/>
              <w:rPr>
                <w:sz w:val="24"/>
              </w:rPr>
            </w:pPr>
            <w:r>
              <w:rPr>
                <w:color w:val="000000"/>
                <w:sz w:val="24"/>
              </w:rPr>
              <w:t>如有，见</w:t>
            </w:r>
            <w:r>
              <w:rPr>
                <w:sz w:val="24"/>
              </w:rPr>
              <w:t>第一章《投标邀请》</w:t>
            </w:r>
          </w:p>
        </w:tc>
        <w:tc>
          <w:tcPr>
            <w:tcW w:w="882" w:type="pct"/>
            <w:vAlign w:val="center"/>
          </w:tcPr>
          <w:p>
            <w:pPr>
              <w:tabs>
                <w:tab w:val="left" w:pos="1080"/>
              </w:tabs>
              <w:snapToGrid w:val="0"/>
              <w:rPr>
                <w:sz w:val="24"/>
                <w:highlight w:val="yellow"/>
              </w:rPr>
            </w:pPr>
            <w:r>
              <w:rPr>
                <w:rFonts w:hint="eastAsia"/>
                <w:sz w:val="24"/>
              </w:rPr>
              <w:t>提供纸质证明文件并加盖公章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4</w:t>
            </w:r>
          </w:p>
        </w:tc>
        <w:tc>
          <w:tcPr>
            <w:tcW w:w="1067" w:type="pct"/>
            <w:vAlign w:val="center"/>
          </w:tcPr>
          <w:p>
            <w:pPr>
              <w:tabs>
                <w:tab w:val="left" w:pos="1080"/>
              </w:tabs>
              <w:snapToGrid w:val="0"/>
              <w:rPr>
                <w:sz w:val="24"/>
              </w:rPr>
            </w:pPr>
            <w:r>
              <w:rPr>
                <w:rFonts w:hint="eastAsia"/>
                <w:sz w:val="24"/>
              </w:rPr>
              <w:t>投标保证金</w:t>
            </w:r>
          </w:p>
        </w:tc>
        <w:tc>
          <w:tcPr>
            <w:tcW w:w="2596" w:type="pct"/>
            <w:vAlign w:val="center"/>
          </w:tcPr>
          <w:p>
            <w:pPr>
              <w:tabs>
                <w:tab w:val="left" w:pos="1080"/>
              </w:tabs>
              <w:snapToGrid w:val="0"/>
              <w:rPr>
                <w:sz w:val="24"/>
              </w:rPr>
            </w:pPr>
            <w:r>
              <w:rPr>
                <w:rFonts w:hint="eastAsia"/>
                <w:color w:val="000000"/>
                <w:kern w:val="0"/>
                <w:sz w:val="24"/>
              </w:rPr>
              <w:t>按照招标文件的规定提交投标保证金。</w:t>
            </w:r>
          </w:p>
        </w:tc>
        <w:tc>
          <w:tcPr>
            <w:tcW w:w="882" w:type="pct"/>
            <w:vAlign w:val="center"/>
          </w:tcPr>
          <w:p>
            <w:pPr>
              <w:tabs>
                <w:tab w:val="left" w:pos="1080"/>
              </w:tabs>
              <w:snapToGrid w:val="0"/>
              <w:rPr>
                <w:sz w:val="24"/>
              </w:rPr>
            </w:pPr>
          </w:p>
        </w:tc>
        <w:bookmarkStart w:id="903" w:name="_Hlt522424701"/>
        <w:bookmarkStart w:id="904" w:name="_Hlt487900425"/>
      </w:tr>
      <w:bookmarkEnd w:id="903"/>
      <w:bookmarkEnd w:id="904"/>
    </w:tbl>
    <w:p>
      <w:pPr>
        <w:widowControl/>
        <w:jc w:val="left"/>
        <w:rPr>
          <w:sz w:val="24"/>
        </w:rPr>
      </w:pPr>
    </w:p>
    <w:p>
      <w:pPr>
        <w:spacing w:line="360" w:lineRule="auto"/>
        <w:jc w:val="center"/>
        <w:outlineLvl w:val="0"/>
        <w:rPr>
          <w:b/>
          <w:sz w:val="36"/>
          <w:szCs w:val="36"/>
        </w:rPr>
      </w:pPr>
      <w:bookmarkStart w:id="905" w:name="_Toc15892"/>
      <w:r>
        <w:rPr>
          <w:b/>
          <w:sz w:val="36"/>
          <w:szCs w:val="36"/>
        </w:rPr>
        <w:t xml:space="preserve">第四章   </w:t>
      </w:r>
      <w:bookmarkEnd w:id="898"/>
      <w:bookmarkEnd w:id="899"/>
      <w:bookmarkEnd w:id="900"/>
      <w:bookmarkEnd w:id="901"/>
      <w:bookmarkEnd w:id="902"/>
      <w:bookmarkStart w:id="906" w:name="_Hlt164229061"/>
      <w:bookmarkEnd w:id="906"/>
      <w:r>
        <w:rPr>
          <w:b/>
          <w:sz w:val="36"/>
          <w:szCs w:val="36"/>
        </w:rPr>
        <w:t>评标程序、评标方法和评标标准</w:t>
      </w:r>
      <w:bookmarkEnd w:id="905"/>
    </w:p>
    <w:p>
      <w:pPr>
        <w:tabs>
          <w:tab w:val="left" w:pos="360"/>
          <w:tab w:val="left" w:pos="900"/>
        </w:tabs>
        <w:snapToGrid w:val="0"/>
        <w:spacing w:line="360" w:lineRule="auto"/>
        <w:jc w:val="center"/>
        <w:outlineLvl w:val="1"/>
        <w:rPr>
          <w:b/>
        </w:rPr>
      </w:pPr>
      <w:r>
        <w:rPr>
          <w:b/>
          <w:sz w:val="24"/>
        </w:rPr>
        <w:t>一、评标方法</w:t>
      </w:r>
    </w:p>
    <w:p>
      <w:pPr>
        <w:numPr>
          <w:ilvl w:val="0"/>
          <w:numId w:val="7"/>
        </w:numPr>
        <w:tabs>
          <w:tab w:val="left" w:pos="360"/>
        </w:tabs>
        <w:snapToGrid w:val="0"/>
        <w:spacing w:line="360" w:lineRule="auto"/>
        <w:outlineLvl w:val="1"/>
        <w:rPr>
          <w:sz w:val="24"/>
        </w:rPr>
      </w:pPr>
      <w:bookmarkStart w:id="907" w:name="_Toc305158883"/>
      <w:bookmarkStart w:id="908" w:name="_Toc150509292"/>
      <w:bookmarkStart w:id="909" w:name="_Toc164608810"/>
      <w:bookmarkStart w:id="910" w:name="_Toc151193711"/>
      <w:bookmarkStart w:id="911" w:name="_Toc226309785"/>
      <w:bookmarkStart w:id="912" w:name="_Toc151193783"/>
      <w:bookmarkStart w:id="913" w:name="_Toc151193929"/>
      <w:bookmarkStart w:id="914" w:name="_Toc195842906"/>
      <w:bookmarkStart w:id="915" w:name="_Toc127161455"/>
      <w:bookmarkStart w:id="916" w:name="_Toc151190168"/>
      <w:bookmarkStart w:id="917" w:name="_Toc150480779"/>
      <w:bookmarkStart w:id="918" w:name="_Toc164608655"/>
      <w:bookmarkStart w:id="919" w:name="_Toc127151742"/>
      <w:bookmarkStart w:id="920" w:name="_Toc226337237"/>
      <w:bookmarkStart w:id="921" w:name="_Toc164229236"/>
      <w:bookmarkStart w:id="922" w:name="_Toc164351635"/>
      <w:bookmarkStart w:id="923" w:name="_Toc305158809"/>
      <w:bookmarkStart w:id="924" w:name="_Toc142311043"/>
      <w:bookmarkStart w:id="925" w:name="_Toc151193639"/>
      <w:bookmarkStart w:id="926" w:name="_Toc264969231"/>
      <w:bookmarkStart w:id="927" w:name="_Toc226965731"/>
      <w:bookmarkStart w:id="928" w:name="_Toc127151541"/>
      <w:bookmarkStart w:id="929" w:name="_Toc150774641"/>
      <w:bookmarkStart w:id="930" w:name="_Toc149720834"/>
      <w:bookmarkStart w:id="931" w:name="_Toc265228379"/>
      <w:bookmarkStart w:id="932" w:name="_Toc151193855"/>
      <w:bookmarkStart w:id="933" w:name="_Toc164229382"/>
      <w:bookmarkStart w:id="934" w:name="_Toc150774746"/>
      <w:bookmarkStart w:id="935" w:name="_Toc226965814"/>
      <w:bookmarkStart w:id="936" w:name="_Toc353873941"/>
      <w:bookmarkStart w:id="937" w:name="_Toc353825551"/>
      <w:bookmarkStart w:id="938" w:name="_Toc305158897"/>
      <w:bookmarkStart w:id="939" w:name="_Toc195842920"/>
      <w:bookmarkStart w:id="940" w:name="_Toc226965828"/>
      <w:bookmarkStart w:id="941" w:name="_Toc142311057"/>
      <w:bookmarkStart w:id="942" w:name="_Toc265228393"/>
      <w:bookmarkStart w:id="943" w:name="_Toc353825545"/>
      <w:bookmarkStart w:id="944" w:name="_Toc305158823"/>
      <w:bookmarkStart w:id="945" w:name="_Toc264969245"/>
      <w:bookmarkStart w:id="946" w:name="_Toc353873935"/>
      <w:bookmarkStart w:id="947" w:name="_Toc127151555"/>
      <w:bookmarkStart w:id="948" w:name="_Toc150480793"/>
      <w:bookmarkStart w:id="949" w:name="_Toc226337251"/>
      <w:bookmarkStart w:id="950" w:name="_Toc150774760"/>
      <w:bookmarkStart w:id="951" w:name="_Toc353873665"/>
      <w:r>
        <w:rPr>
          <w:sz w:val="24"/>
        </w:rPr>
        <w:t>投标文件的符合性审查</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pPr>
        <w:numPr>
          <w:ilvl w:val="1"/>
          <w:numId w:val="7"/>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952" w:name="_Toc520356167"/>
    </w:p>
    <w:p>
      <w:pPr>
        <w:numPr>
          <w:ilvl w:val="1"/>
          <w:numId w:val="7"/>
        </w:numPr>
        <w:tabs>
          <w:tab w:val="left" w:pos="1080"/>
        </w:tabs>
        <w:snapToGrid w:val="0"/>
        <w:spacing w:line="360" w:lineRule="auto"/>
        <w:ind w:left="1077" w:hanging="720"/>
        <w:rPr>
          <w:sz w:val="24"/>
        </w:rPr>
      </w:pPr>
      <w:r>
        <w:rPr>
          <w:sz w:val="24"/>
        </w:rPr>
        <w:t>评标委员会根据《</w:t>
      </w:r>
      <w:r>
        <w:rPr>
          <w:rFonts w:hint="eastAsia"/>
          <w:sz w:val="24"/>
        </w:rPr>
        <w:t>符合性审查要求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952"/>
      <w:r>
        <w:rPr>
          <w:rFonts w:hint="eastAsia"/>
          <w:sz w:val="24"/>
        </w:rPr>
        <w:t>要求的，</w:t>
      </w:r>
      <w:r>
        <w:rPr>
          <w:rFonts w:hint="eastAsia"/>
          <w:b/>
          <w:sz w:val="24"/>
        </w:rPr>
        <w:t>投标无效</w:t>
      </w:r>
      <w:r>
        <w:rPr>
          <w:rFonts w:hint="eastAsia"/>
          <w:sz w:val="24"/>
        </w:rPr>
        <w:t>。</w:t>
      </w:r>
    </w:p>
    <w:p>
      <w:pPr>
        <w:tabs>
          <w:tab w:val="left" w:pos="900"/>
          <w:tab w:val="left" w:pos="1080"/>
          <w:tab w:val="left" w:pos="1589"/>
        </w:tabs>
        <w:snapToGrid w:val="0"/>
        <w:spacing w:line="360" w:lineRule="auto"/>
        <w:ind w:leftChars="-170" w:hanging="357" w:hangingChars="148"/>
        <w:jc w:val="center"/>
        <w:rPr>
          <w:b/>
          <w:sz w:val="24"/>
        </w:rPr>
      </w:pPr>
      <w:r>
        <w:rPr>
          <w:b/>
          <w:sz w:val="24"/>
        </w:rPr>
        <w:t>符合性审查</w:t>
      </w:r>
      <w:r>
        <w:rPr>
          <w:rFonts w:hint="eastAsia"/>
          <w:b/>
          <w:sz w:val="24"/>
        </w:rPr>
        <w:t>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pPr>
              <w:widowControl/>
              <w:jc w:val="center"/>
              <w:rPr>
                <w:b/>
                <w:color w:val="000000"/>
                <w:kern w:val="0"/>
                <w:sz w:val="24"/>
              </w:rPr>
            </w:pPr>
            <w:r>
              <w:rPr>
                <w:b/>
                <w:color w:val="000000"/>
                <w:kern w:val="0"/>
                <w:sz w:val="24"/>
              </w:rPr>
              <w:t>序号</w:t>
            </w:r>
          </w:p>
        </w:tc>
        <w:tc>
          <w:tcPr>
            <w:tcW w:w="976" w:type="pct"/>
            <w:vAlign w:val="center"/>
          </w:tcPr>
          <w:p>
            <w:pPr>
              <w:widowControl/>
              <w:jc w:val="center"/>
              <w:rPr>
                <w:b/>
                <w:color w:val="000000"/>
                <w:kern w:val="0"/>
                <w:sz w:val="24"/>
              </w:rPr>
            </w:pPr>
            <w:r>
              <w:rPr>
                <w:b/>
                <w:color w:val="000000"/>
                <w:kern w:val="0"/>
                <w:sz w:val="24"/>
              </w:rPr>
              <w:t>审查因素</w:t>
            </w:r>
          </w:p>
        </w:tc>
        <w:tc>
          <w:tcPr>
            <w:tcW w:w="3620" w:type="pct"/>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w:t>
            </w:r>
          </w:p>
        </w:tc>
        <w:tc>
          <w:tcPr>
            <w:tcW w:w="976" w:type="pct"/>
            <w:vAlign w:val="center"/>
          </w:tcPr>
          <w:p>
            <w:pPr>
              <w:widowControl/>
              <w:jc w:val="left"/>
              <w:rPr>
                <w:color w:val="000000"/>
                <w:kern w:val="0"/>
                <w:sz w:val="24"/>
              </w:rPr>
            </w:pPr>
            <w:r>
              <w:rPr>
                <w:color w:val="000000"/>
                <w:kern w:val="0"/>
                <w:sz w:val="24"/>
              </w:rPr>
              <w:t>授权委托书</w:t>
            </w:r>
          </w:p>
        </w:tc>
        <w:tc>
          <w:tcPr>
            <w:tcW w:w="3620" w:type="pct"/>
            <w:vAlign w:val="center"/>
          </w:tcPr>
          <w:p>
            <w:pPr>
              <w:widowControl/>
              <w:jc w:val="left"/>
              <w:rPr>
                <w:color w:val="000000"/>
                <w:kern w:val="0"/>
                <w:sz w:val="24"/>
              </w:rPr>
            </w:pPr>
            <w:r>
              <w:rPr>
                <w:color w:val="000000"/>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2</w:t>
            </w:r>
          </w:p>
        </w:tc>
        <w:tc>
          <w:tcPr>
            <w:tcW w:w="976" w:type="pct"/>
            <w:vAlign w:val="center"/>
          </w:tcPr>
          <w:p>
            <w:pPr>
              <w:widowControl/>
              <w:jc w:val="left"/>
              <w:rPr>
                <w:color w:val="000000"/>
                <w:kern w:val="0"/>
                <w:sz w:val="24"/>
              </w:rPr>
            </w:pPr>
            <w:r>
              <w:rPr>
                <w:color w:val="000000"/>
                <w:kern w:val="0"/>
                <w:sz w:val="24"/>
              </w:rPr>
              <w:t>投标完整性</w:t>
            </w:r>
          </w:p>
        </w:tc>
        <w:tc>
          <w:tcPr>
            <w:tcW w:w="3620" w:type="pct"/>
            <w:vAlign w:val="center"/>
          </w:tcPr>
          <w:p>
            <w:pPr>
              <w:widowControl/>
              <w:jc w:val="left"/>
              <w:rPr>
                <w:color w:val="000000"/>
                <w:kern w:val="0"/>
                <w:sz w:val="24"/>
              </w:rPr>
            </w:pPr>
            <w:r>
              <w:rPr>
                <w:rFonts w:hint="eastAsia"/>
                <w:sz w:val="24"/>
              </w:rPr>
              <w:t>未</w:t>
            </w:r>
            <w:r>
              <w:rPr>
                <w:sz w:val="24"/>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3</w:t>
            </w:r>
          </w:p>
        </w:tc>
        <w:tc>
          <w:tcPr>
            <w:tcW w:w="976" w:type="pct"/>
            <w:vAlign w:val="center"/>
          </w:tcPr>
          <w:p>
            <w:pPr>
              <w:widowControl/>
              <w:jc w:val="left"/>
              <w:rPr>
                <w:color w:val="000000"/>
                <w:kern w:val="0"/>
                <w:sz w:val="24"/>
              </w:rPr>
            </w:pPr>
            <w:r>
              <w:rPr>
                <w:color w:val="000000"/>
                <w:kern w:val="0"/>
                <w:sz w:val="24"/>
              </w:rPr>
              <w:t>投标报价</w:t>
            </w:r>
          </w:p>
        </w:tc>
        <w:tc>
          <w:tcPr>
            <w:tcW w:w="3620" w:type="pct"/>
            <w:vAlign w:val="center"/>
          </w:tcPr>
          <w:p>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超过招标文件中规定的项目/采购包预算金额或者项目/采购包最高限价</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4</w:t>
            </w:r>
          </w:p>
        </w:tc>
        <w:tc>
          <w:tcPr>
            <w:tcW w:w="976" w:type="pct"/>
            <w:vAlign w:val="center"/>
          </w:tcPr>
          <w:p>
            <w:pPr>
              <w:widowControl/>
              <w:jc w:val="left"/>
              <w:rPr>
                <w:color w:val="000000"/>
                <w:kern w:val="0"/>
                <w:sz w:val="24"/>
              </w:rPr>
            </w:pPr>
            <w:r>
              <w:rPr>
                <w:color w:val="000000"/>
                <w:kern w:val="0"/>
                <w:sz w:val="24"/>
              </w:rPr>
              <w:t>报价唯一性</w:t>
            </w:r>
          </w:p>
        </w:tc>
        <w:tc>
          <w:tcPr>
            <w:tcW w:w="3620" w:type="pct"/>
            <w:vAlign w:val="center"/>
          </w:tcPr>
          <w:p>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5</w:t>
            </w:r>
          </w:p>
        </w:tc>
        <w:tc>
          <w:tcPr>
            <w:tcW w:w="976" w:type="pct"/>
            <w:vAlign w:val="center"/>
          </w:tcPr>
          <w:p>
            <w:pPr>
              <w:widowControl/>
              <w:jc w:val="left"/>
              <w:rPr>
                <w:color w:val="000000"/>
                <w:kern w:val="0"/>
                <w:sz w:val="24"/>
              </w:rPr>
            </w:pPr>
            <w:r>
              <w:rPr>
                <w:color w:val="000000"/>
                <w:kern w:val="0"/>
                <w:sz w:val="24"/>
              </w:rPr>
              <w:t>投标有效期</w:t>
            </w:r>
          </w:p>
        </w:tc>
        <w:tc>
          <w:tcPr>
            <w:tcW w:w="3620" w:type="pct"/>
            <w:vAlign w:val="center"/>
          </w:tcPr>
          <w:p>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6</w:t>
            </w:r>
          </w:p>
        </w:tc>
        <w:tc>
          <w:tcPr>
            <w:tcW w:w="976" w:type="pct"/>
            <w:vAlign w:val="center"/>
          </w:tcPr>
          <w:p>
            <w:pPr>
              <w:widowControl/>
              <w:jc w:val="left"/>
              <w:rPr>
                <w:color w:val="000000"/>
                <w:kern w:val="0"/>
                <w:sz w:val="24"/>
              </w:rPr>
            </w:pPr>
            <w:r>
              <w:rPr>
                <w:color w:val="000000"/>
                <w:kern w:val="0"/>
                <w:sz w:val="24"/>
              </w:rPr>
              <w:t>签署、盖章</w:t>
            </w:r>
          </w:p>
        </w:tc>
        <w:tc>
          <w:tcPr>
            <w:tcW w:w="3620" w:type="pct"/>
            <w:vAlign w:val="center"/>
          </w:tcPr>
          <w:p>
            <w:pPr>
              <w:widowControl/>
              <w:jc w:val="left"/>
              <w:rPr>
                <w:color w:val="000000"/>
                <w:kern w:val="0"/>
                <w:sz w:val="24"/>
              </w:rPr>
            </w:pPr>
            <w:r>
              <w:rPr>
                <w:color w:val="000000"/>
                <w:kern w:val="0"/>
                <w:sz w:val="24"/>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rFonts w:hint="eastAsia"/>
                <w:color w:val="000000"/>
                <w:kern w:val="0"/>
                <w:sz w:val="24"/>
              </w:rPr>
              <w:t>7</w:t>
            </w:r>
          </w:p>
        </w:tc>
        <w:tc>
          <w:tcPr>
            <w:tcW w:w="976" w:type="pct"/>
            <w:vAlign w:val="center"/>
          </w:tcPr>
          <w:p>
            <w:pPr>
              <w:widowControl/>
              <w:jc w:val="left"/>
              <w:rPr>
                <w:color w:val="000000"/>
                <w:kern w:val="0"/>
                <w:sz w:val="24"/>
              </w:rPr>
            </w:pPr>
            <w:r>
              <w:rPr>
                <w:rFonts w:hint="eastAsia"/>
                <w:color w:val="000000"/>
                <w:kern w:val="0"/>
                <w:sz w:val="24"/>
              </w:rPr>
              <w:t>实质性格式</w:t>
            </w:r>
          </w:p>
        </w:tc>
        <w:tc>
          <w:tcPr>
            <w:tcW w:w="3620" w:type="pct"/>
            <w:vAlign w:val="center"/>
          </w:tcPr>
          <w:p>
            <w:pPr>
              <w:widowControl/>
              <w:jc w:val="left"/>
              <w:rPr>
                <w:color w:val="000000"/>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8</w:t>
            </w:r>
          </w:p>
        </w:tc>
        <w:tc>
          <w:tcPr>
            <w:tcW w:w="976" w:type="pct"/>
            <w:vAlign w:val="center"/>
          </w:tcPr>
          <w:p>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vAlign w:val="center"/>
          </w:tcPr>
          <w:p>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9</w:t>
            </w:r>
          </w:p>
        </w:tc>
        <w:tc>
          <w:tcPr>
            <w:tcW w:w="976" w:type="pct"/>
            <w:vAlign w:val="center"/>
          </w:tcPr>
          <w:p>
            <w:pPr>
              <w:widowControl/>
              <w:jc w:val="left"/>
              <w:rPr>
                <w:color w:val="000000"/>
                <w:kern w:val="0"/>
                <w:sz w:val="24"/>
              </w:rPr>
            </w:pPr>
            <w:r>
              <w:rPr>
                <w:color w:val="000000"/>
                <w:kern w:val="0"/>
                <w:sz w:val="24"/>
              </w:rPr>
              <w:t>分包承担主体资质（如有）</w:t>
            </w:r>
          </w:p>
        </w:tc>
        <w:tc>
          <w:tcPr>
            <w:tcW w:w="3620" w:type="pct"/>
            <w:vAlign w:val="center"/>
          </w:tcPr>
          <w:p>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资质证书电子件</w:t>
            </w:r>
            <w:r>
              <w:rPr>
                <w:rFonts w:hint="eastAsia"/>
                <w:sz w:val="24"/>
              </w:rPr>
              <w:t>（如有）</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10</w:t>
            </w:r>
          </w:p>
        </w:tc>
        <w:tc>
          <w:tcPr>
            <w:tcW w:w="976" w:type="pct"/>
            <w:vAlign w:val="center"/>
          </w:tcPr>
          <w:p>
            <w:pPr>
              <w:widowControl/>
              <w:jc w:val="left"/>
              <w:rPr>
                <w:color w:val="000000"/>
                <w:kern w:val="0"/>
                <w:sz w:val="24"/>
              </w:rPr>
            </w:pPr>
            <w:r>
              <w:rPr>
                <w:color w:val="000000"/>
                <w:kern w:val="0"/>
                <w:sz w:val="24"/>
              </w:rPr>
              <w:t>分包意向协议</w:t>
            </w:r>
          </w:p>
          <w:p>
            <w:pPr>
              <w:widowControl/>
              <w:jc w:val="left"/>
              <w:rPr>
                <w:color w:val="000000"/>
                <w:kern w:val="0"/>
                <w:sz w:val="24"/>
              </w:rPr>
            </w:pPr>
            <w:r>
              <w:rPr>
                <w:color w:val="000000"/>
                <w:kern w:val="0"/>
                <w:sz w:val="24"/>
              </w:rPr>
              <w:t>（如有）</w:t>
            </w:r>
          </w:p>
        </w:tc>
        <w:tc>
          <w:tcPr>
            <w:tcW w:w="3620" w:type="pct"/>
            <w:vAlign w:val="center"/>
          </w:tcPr>
          <w:p>
            <w:pPr>
              <w:widowControl/>
              <w:jc w:val="left"/>
              <w:rPr>
                <w:color w:val="000000"/>
                <w:kern w:val="0"/>
                <w:sz w:val="24"/>
              </w:rPr>
            </w:pPr>
            <w:r>
              <w:rPr>
                <w:color w:val="000000"/>
                <w:kern w:val="0"/>
                <w:sz w:val="24"/>
              </w:rPr>
              <w:t>按招标文件规定签订并提供分包意向协议原件的电子件的；</w:t>
            </w:r>
            <w:r>
              <w:rPr>
                <w:rFonts w:hint="eastAsia"/>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11</w:t>
            </w:r>
          </w:p>
        </w:tc>
        <w:tc>
          <w:tcPr>
            <w:tcW w:w="976" w:type="pct"/>
            <w:vAlign w:val="center"/>
          </w:tcPr>
          <w:p>
            <w:pPr>
              <w:widowControl/>
              <w:jc w:val="left"/>
              <w:rPr>
                <w:color w:val="000000"/>
                <w:kern w:val="0"/>
                <w:sz w:val="24"/>
              </w:rPr>
            </w:pPr>
            <w:r>
              <w:rPr>
                <w:color w:val="000000"/>
                <w:kern w:val="0"/>
                <w:sz w:val="24"/>
              </w:rPr>
              <w:t>报价的修正（如有）</w:t>
            </w:r>
          </w:p>
        </w:tc>
        <w:tc>
          <w:tcPr>
            <w:tcW w:w="3620" w:type="pct"/>
            <w:vAlign w:val="center"/>
          </w:tcPr>
          <w:p>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12</w:t>
            </w:r>
          </w:p>
        </w:tc>
        <w:tc>
          <w:tcPr>
            <w:tcW w:w="976" w:type="pct"/>
            <w:vAlign w:val="center"/>
          </w:tcPr>
          <w:p>
            <w:pPr>
              <w:widowControl/>
              <w:jc w:val="left"/>
              <w:rPr>
                <w:color w:val="000000"/>
                <w:kern w:val="0"/>
                <w:sz w:val="24"/>
              </w:rPr>
            </w:pPr>
            <w:r>
              <w:rPr>
                <w:color w:val="000000"/>
                <w:kern w:val="0"/>
                <w:sz w:val="24"/>
              </w:rPr>
              <w:t>报价合理性</w:t>
            </w:r>
          </w:p>
        </w:tc>
        <w:tc>
          <w:tcPr>
            <w:tcW w:w="3620" w:type="pct"/>
            <w:vAlign w:val="center"/>
          </w:tcPr>
          <w:p>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13</w:t>
            </w:r>
          </w:p>
        </w:tc>
        <w:tc>
          <w:tcPr>
            <w:tcW w:w="976" w:type="pct"/>
            <w:vAlign w:val="center"/>
          </w:tcPr>
          <w:p>
            <w:pPr>
              <w:widowControl/>
              <w:jc w:val="left"/>
              <w:rPr>
                <w:color w:val="000000"/>
                <w:kern w:val="0"/>
                <w:sz w:val="24"/>
              </w:rPr>
            </w:pPr>
            <w:r>
              <w:rPr>
                <w:color w:val="000000"/>
                <w:kern w:val="0"/>
                <w:sz w:val="24"/>
              </w:rPr>
              <w:t>进口产品</w:t>
            </w:r>
          </w:p>
          <w:p>
            <w:pPr>
              <w:widowControl/>
              <w:jc w:val="left"/>
              <w:rPr>
                <w:color w:val="000000"/>
                <w:kern w:val="0"/>
                <w:sz w:val="24"/>
              </w:rPr>
            </w:pPr>
            <w:r>
              <w:rPr>
                <w:color w:val="000000"/>
                <w:kern w:val="0"/>
                <w:sz w:val="24"/>
              </w:rPr>
              <w:t>（如有）</w:t>
            </w:r>
          </w:p>
        </w:tc>
        <w:tc>
          <w:tcPr>
            <w:tcW w:w="3620" w:type="pct"/>
            <w:vAlign w:val="center"/>
          </w:tcPr>
          <w:p>
            <w:pPr>
              <w:widowControl/>
              <w:jc w:val="left"/>
              <w:rPr>
                <w:color w:val="000000"/>
                <w:kern w:val="0"/>
                <w:sz w:val="24"/>
              </w:rPr>
            </w:pPr>
            <w:r>
              <w:rPr>
                <w:rFonts w:hint="eastAsia" w:ascii="宋体" w:hAnsi="宋体"/>
                <w:sz w:val="24"/>
              </w:rPr>
              <w:t>招标文件</w:t>
            </w:r>
            <w:r>
              <w:rPr>
                <w:rFonts w:ascii="宋体" w:hAnsi="宋体"/>
                <w:sz w:val="24"/>
              </w:rPr>
              <w:t>不接受进口产品投标</w:t>
            </w:r>
            <w:r>
              <w:rPr>
                <w:rFonts w:hint="eastAsia" w:ascii="宋体" w:hAnsi="宋体"/>
                <w:sz w:val="24"/>
              </w:rPr>
              <w:t>的内容时</w:t>
            </w:r>
            <w:r>
              <w:rPr>
                <w:rFonts w:ascii="宋体" w:hAnsi="宋体"/>
                <w:sz w:val="24"/>
              </w:rPr>
              <w:t>，</w:t>
            </w:r>
            <w:r>
              <w:rPr>
                <w:rFonts w:hint="eastAsia" w:ascii="宋体" w:hAnsi="宋体"/>
                <w:sz w:val="24"/>
              </w:rPr>
              <w:t>投标人所投产品非进口产品的；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14</w:t>
            </w:r>
          </w:p>
        </w:tc>
        <w:tc>
          <w:tcPr>
            <w:tcW w:w="976" w:type="pct"/>
            <w:vAlign w:val="center"/>
          </w:tcPr>
          <w:p>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，并提供证明文件电子件：</w:t>
            </w:r>
          </w:p>
          <w:p>
            <w:pPr>
              <w:widowControl/>
              <w:jc w:val="left"/>
              <w:rPr>
                <w:color w:val="000000"/>
                <w:kern w:val="0"/>
                <w:sz w:val="24"/>
              </w:rPr>
            </w:pPr>
            <w:r>
              <w:rPr>
                <w:rFonts w:hint="eastAsia"/>
                <w:color w:val="000000"/>
                <w:kern w:val="0"/>
                <w:sz w:val="24"/>
              </w:rPr>
              <w:t>1）</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pPr>
              <w:widowControl/>
              <w:jc w:val="left"/>
              <w:rPr>
                <w:color w:val="000000"/>
                <w:kern w:val="0"/>
                <w:sz w:val="24"/>
              </w:rPr>
            </w:pPr>
            <w:r>
              <w:rPr>
                <w:rFonts w:hint="eastAsia"/>
                <w:color w:val="000000"/>
                <w:kern w:val="0"/>
                <w:sz w:val="24"/>
              </w:rPr>
              <w:t>2）</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pPr>
              <w:widowControl/>
              <w:jc w:val="left"/>
              <w:rPr>
                <w:sz w:val="24"/>
              </w:rPr>
            </w:pPr>
            <w:r>
              <w:rPr>
                <w:rFonts w:hint="eastAsia"/>
                <w:sz w:val="24"/>
              </w:rPr>
              <w:t>4）</w:t>
            </w:r>
            <w:r>
              <w:rPr>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项目中涉及涂料、胶黏剂、油墨、清洗剂等挥发性有机物产品，且属于强制性标准的，供应商应执行符合本市和国家的VOCs 含量限制标准</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15</w:t>
            </w:r>
          </w:p>
        </w:tc>
        <w:tc>
          <w:tcPr>
            <w:tcW w:w="976" w:type="pct"/>
            <w:vAlign w:val="center"/>
          </w:tcPr>
          <w:p>
            <w:pPr>
              <w:widowControl/>
              <w:jc w:val="left"/>
              <w:rPr>
                <w:color w:val="000000"/>
                <w:kern w:val="0"/>
                <w:sz w:val="24"/>
              </w:rPr>
            </w:pPr>
            <w:r>
              <w:rPr>
                <w:color w:val="000000"/>
                <w:kern w:val="0"/>
                <w:sz w:val="24"/>
              </w:rPr>
              <w:t>公平竞争</w:t>
            </w:r>
          </w:p>
        </w:tc>
        <w:tc>
          <w:tcPr>
            <w:tcW w:w="3620" w:type="pct"/>
            <w:vAlign w:val="center"/>
          </w:tcPr>
          <w:p>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16</w:t>
            </w:r>
          </w:p>
        </w:tc>
        <w:tc>
          <w:tcPr>
            <w:tcW w:w="976" w:type="pct"/>
            <w:vAlign w:val="center"/>
          </w:tcPr>
          <w:p>
            <w:pPr>
              <w:widowControl/>
              <w:jc w:val="left"/>
              <w:rPr>
                <w:color w:val="000000"/>
                <w:kern w:val="0"/>
                <w:sz w:val="24"/>
              </w:rPr>
            </w:pPr>
            <w:r>
              <w:rPr>
                <w:color w:val="000000"/>
                <w:kern w:val="0"/>
                <w:sz w:val="24"/>
              </w:rPr>
              <w:t>串通投标</w:t>
            </w:r>
          </w:p>
        </w:tc>
        <w:tc>
          <w:tcPr>
            <w:tcW w:w="3620" w:type="pct"/>
            <w:vAlign w:val="center"/>
          </w:tcPr>
          <w:p>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color w:val="000000"/>
                <w:kern w:val="0"/>
                <w:sz w:val="24"/>
              </w:rPr>
              <w:t>17</w:t>
            </w:r>
          </w:p>
        </w:tc>
        <w:tc>
          <w:tcPr>
            <w:tcW w:w="976" w:type="pct"/>
            <w:vAlign w:val="center"/>
          </w:tcPr>
          <w:p>
            <w:pPr>
              <w:widowControl/>
              <w:jc w:val="left"/>
              <w:rPr>
                <w:color w:val="000000"/>
                <w:kern w:val="0"/>
                <w:sz w:val="24"/>
              </w:rPr>
            </w:pPr>
            <w:r>
              <w:rPr>
                <w:color w:val="000000"/>
                <w:kern w:val="0"/>
                <w:sz w:val="24"/>
              </w:rPr>
              <w:t>附加条件</w:t>
            </w:r>
          </w:p>
        </w:tc>
        <w:tc>
          <w:tcPr>
            <w:tcW w:w="3620" w:type="pct"/>
            <w:vAlign w:val="center"/>
          </w:tcPr>
          <w:p>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pPr>
              <w:widowControl/>
              <w:jc w:val="left"/>
              <w:rPr>
                <w:color w:val="000000"/>
                <w:kern w:val="0"/>
                <w:sz w:val="24"/>
              </w:rPr>
            </w:pPr>
            <w:r>
              <w:rPr>
                <w:color w:val="000000"/>
                <w:kern w:val="0"/>
                <w:sz w:val="24"/>
              </w:rPr>
              <w:t>其他无效情形</w:t>
            </w:r>
          </w:p>
        </w:tc>
        <w:tc>
          <w:tcPr>
            <w:tcW w:w="3620" w:type="pct"/>
            <w:vAlign w:val="center"/>
          </w:tcPr>
          <w:p>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pPr>
        <w:tabs>
          <w:tab w:val="left" w:pos="900"/>
          <w:tab w:val="left" w:pos="1080"/>
          <w:tab w:val="left" w:pos="1589"/>
        </w:tabs>
        <w:snapToGrid w:val="0"/>
        <w:spacing w:line="360" w:lineRule="auto"/>
        <w:ind w:leftChars="-170" w:hanging="357" w:hangingChars="148"/>
        <w:jc w:val="center"/>
        <w:rPr>
          <w:b/>
          <w:color w:val="000000"/>
          <w:sz w:val="24"/>
        </w:rPr>
      </w:pPr>
    </w:p>
    <w:p>
      <w:pPr>
        <w:numPr>
          <w:ilvl w:val="0"/>
          <w:numId w:val="8"/>
        </w:numPr>
        <w:tabs>
          <w:tab w:val="left" w:pos="1080"/>
          <w:tab w:val="left" w:pos="1589"/>
        </w:tabs>
        <w:snapToGrid w:val="0"/>
        <w:spacing w:line="360" w:lineRule="auto"/>
        <w:rPr>
          <w:sz w:val="24"/>
        </w:rPr>
        <w:sectPr>
          <w:headerReference r:id="rId5" w:type="first"/>
          <w:footerReference r:id="rId7" w:type="first"/>
          <w:headerReference r:id="rId4" w:type="even"/>
          <w:footerReference r:id="rId6" w:type="even"/>
          <w:pgSz w:w="11907" w:h="16840"/>
          <w:pgMar w:top="1418" w:right="1134" w:bottom="1418" w:left="1701" w:header="851" w:footer="851" w:gutter="0"/>
          <w:cols w:space="720" w:num="1"/>
          <w:docGrid w:linePitch="462" w:charSpace="0"/>
        </w:sectPr>
      </w:pPr>
    </w:p>
    <w:p>
      <w:pPr>
        <w:numPr>
          <w:ilvl w:val="0"/>
          <w:numId w:val="7"/>
        </w:numPr>
        <w:tabs>
          <w:tab w:val="left" w:pos="360"/>
        </w:tabs>
        <w:snapToGrid w:val="0"/>
        <w:spacing w:line="360" w:lineRule="auto"/>
        <w:outlineLvl w:val="1"/>
        <w:rPr>
          <w:sz w:val="24"/>
        </w:rPr>
      </w:pPr>
      <w:r>
        <w:rPr>
          <w:sz w:val="24"/>
        </w:rPr>
        <w:t>投标文件有关事项的澄清或者说明</w:t>
      </w:r>
    </w:p>
    <w:p>
      <w:pPr>
        <w:numPr>
          <w:ilvl w:val="1"/>
          <w:numId w:val="7"/>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7"/>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pPr>
        <w:numPr>
          <w:ilvl w:val="1"/>
          <w:numId w:val="7"/>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pPr>
        <w:numPr>
          <w:ilvl w:val="1"/>
          <w:numId w:val="7"/>
        </w:numPr>
        <w:tabs>
          <w:tab w:val="left" w:pos="1080"/>
        </w:tabs>
        <w:snapToGrid w:val="0"/>
        <w:spacing w:line="360" w:lineRule="auto"/>
        <w:ind w:left="1077" w:hanging="720"/>
        <w:rPr>
          <w:sz w:val="24"/>
        </w:rPr>
      </w:pPr>
      <w:r>
        <w:rPr>
          <w:sz w:val="24"/>
        </w:rPr>
        <w:t>投标文件报价出现前后不一致的，按照下列规定修正：</w:t>
      </w:r>
    </w:p>
    <w:p>
      <w:pPr>
        <w:numPr>
          <w:ilvl w:val="2"/>
          <w:numId w:val="7"/>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pPr>
        <w:tabs>
          <w:tab w:val="left" w:pos="1080"/>
          <w:tab w:val="left" w:pos="1589"/>
          <w:tab w:val="left" w:pos="2035"/>
          <w:tab w:val="left" w:pos="2114"/>
        </w:tabs>
        <w:snapToGrid w:val="0"/>
        <w:spacing w:line="360" w:lineRule="auto"/>
        <w:ind w:left="2035"/>
        <w:rPr>
          <w:sz w:val="24"/>
        </w:rPr>
      </w:pPr>
      <w:r>
        <w:rPr>
          <w:rFonts w:hint="eastAsia"/>
          <w:sz w:val="18"/>
          <w:szCs w:val="18"/>
        </w:rPr>
        <w:t>■</w:t>
      </w:r>
      <w:r>
        <w:rPr>
          <w:sz w:val="24"/>
        </w:rPr>
        <w:t>无，按下述2.4.2-2.4.7项规定修正。</w:t>
      </w:r>
    </w:p>
    <w:p>
      <w:pPr>
        <w:numPr>
          <w:ilvl w:val="2"/>
          <w:numId w:val="7"/>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pPr>
        <w:numPr>
          <w:ilvl w:val="2"/>
          <w:numId w:val="7"/>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pPr>
        <w:numPr>
          <w:ilvl w:val="2"/>
          <w:numId w:val="7"/>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7"/>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pPr>
        <w:numPr>
          <w:ilvl w:val="2"/>
          <w:numId w:val="7"/>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7"/>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pPr>
        <w:numPr>
          <w:ilvl w:val="1"/>
          <w:numId w:val="7"/>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pPr>
        <w:numPr>
          <w:ilvl w:val="2"/>
          <w:numId w:val="7"/>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lang w:val="en-US" w:eastAsia="zh-CN"/>
        </w:rPr>
        <w:t>10</w:t>
      </w:r>
      <w:r>
        <w:rPr>
          <w:sz w:val="24"/>
        </w:rPr>
        <w:t>%的扣除，用扣除后的价格参加评审。</w:t>
      </w:r>
    </w:p>
    <w:p>
      <w:pPr>
        <w:numPr>
          <w:ilvl w:val="2"/>
          <w:numId w:val="7"/>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lang w:val="en-US" w:eastAsia="zh-CN"/>
        </w:rPr>
        <w:t>4</w:t>
      </w:r>
      <w:r>
        <w:rPr>
          <w:sz w:val="24"/>
        </w:rPr>
        <w:t>%的扣除，用扣除后的价格参加评审。</w:t>
      </w:r>
    </w:p>
    <w:p>
      <w:pPr>
        <w:numPr>
          <w:ilvl w:val="2"/>
          <w:numId w:val="7"/>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7"/>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7"/>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pPr>
        <w:numPr>
          <w:ilvl w:val="2"/>
          <w:numId w:val="7"/>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pPr>
        <w:numPr>
          <w:ilvl w:val="2"/>
          <w:numId w:val="7"/>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残疾人福利性单位按招标文件要求提供了《残疾人福利性单位声明函》（见附件）的，视同小微企业。</w:t>
      </w:r>
    </w:p>
    <w:p>
      <w:pPr>
        <w:numPr>
          <w:ilvl w:val="2"/>
          <w:numId w:val="7"/>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pPr>
        <w:numPr>
          <w:ilvl w:val="0"/>
          <w:numId w:val="7"/>
        </w:numPr>
        <w:tabs>
          <w:tab w:val="left" w:pos="360"/>
        </w:tabs>
        <w:snapToGrid w:val="0"/>
        <w:spacing w:line="360" w:lineRule="auto"/>
        <w:outlineLvl w:val="1"/>
        <w:rPr>
          <w:sz w:val="24"/>
        </w:rPr>
      </w:pPr>
      <w:r>
        <w:rPr>
          <w:sz w:val="24"/>
        </w:rPr>
        <w:t>投标文件的比较和评价</w:t>
      </w:r>
      <w:bookmarkEnd w:id="936"/>
      <w:bookmarkEnd w:id="937"/>
    </w:p>
    <w:p>
      <w:pPr>
        <w:numPr>
          <w:ilvl w:val="1"/>
          <w:numId w:val="7"/>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7"/>
        </w:numPr>
        <w:tabs>
          <w:tab w:val="left" w:pos="1080"/>
        </w:tabs>
        <w:snapToGrid w:val="0"/>
        <w:spacing w:line="360" w:lineRule="auto"/>
        <w:ind w:left="1077" w:hanging="720"/>
        <w:rPr>
          <w:sz w:val="24"/>
        </w:rPr>
      </w:pPr>
      <w:r>
        <w:rPr>
          <w:sz w:val="24"/>
        </w:rPr>
        <w:t>评标方法和评标标准</w:t>
      </w:r>
    </w:p>
    <w:p>
      <w:pPr>
        <w:numPr>
          <w:ilvl w:val="2"/>
          <w:numId w:val="7"/>
        </w:numPr>
        <w:tabs>
          <w:tab w:val="left" w:pos="1080"/>
          <w:tab w:val="left" w:pos="1589"/>
          <w:tab w:val="left" w:pos="2035"/>
        </w:tabs>
        <w:snapToGrid w:val="0"/>
        <w:spacing w:line="360" w:lineRule="auto"/>
        <w:ind w:left="2035"/>
        <w:rPr>
          <w:sz w:val="24"/>
        </w:rPr>
      </w:pPr>
      <w:r>
        <w:rPr>
          <w:sz w:val="24"/>
        </w:rPr>
        <w:t>本项目采用的评标方法为：</w:t>
      </w:r>
    </w:p>
    <w:p>
      <w:pPr>
        <w:tabs>
          <w:tab w:val="left" w:pos="900"/>
          <w:tab w:val="left" w:pos="1589"/>
          <w:tab w:val="left" w:pos="1701"/>
        </w:tabs>
        <w:snapToGrid w:val="0"/>
        <w:spacing w:line="360" w:lineRule="auto"/>
        <w:ind w:left="1985"/>
        <w:rPr>
          <w:sz w:val="24"/>
        </w:rPr>
      </w:pPr>
      <w:r>
        <w:rPr>
          <w:rFonts w:hint="eastAsia"/>
          <w:sz w:val="18"/>
          <w:szCs w:val="18"/>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pPr>
        <w:numPr>
          <w:ilvl w:val="2"/>
          <w:numId w:val="7"/>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pPr>
        <w:tabs>
          <w:tab w:val="left" w:pos="1080"/>
          <w:tab w:val="left" w:pos="1589"/>
          <w:tab w:val="left" w:pos="2035"/>
        </w:tabs>
        <w:snapToGrid w:val="0"/>
        <w:spacing w:line="360" w:lineRule="auto"/>
        <w:ind w:left="2035"/>
        <w:rPr>
          <w:sz w:val="24"/>
        </w:rPr>
      </w:pPr>
      <w:r>
        <w:rPr>
          <w:rFonts w:hint="eastAsia"/>
          <w:sz w:val="18"/>
          <w:szCs w:val="18"/>
        </w:rPr>
        <w:t>■</w:t>
      </w:r>
      <w:r>
        <w:rPr>
          <w:sz w:val="24"/>
        </w:rPr>
        <w:t>随机抽取</w:t>
      </w:r>
    </w:p>
    <w:p>
      <w:pPr>
        <w:tabs>
          <w:tab w:val="left" w:pos="1080"/>
          <w:tab w:val="left" w:pos="1589"/>
          <w:tab w:val="left" w:pos="2035"/>
        </w:tabs>
        <w:snapToGrid w:val="0"/>
        <w:spacing w:line="360" w:lineRule="auto"/>
        <w:ind w:left="2035"/>
        <w:rPr>
          <w:sz w:val="24"/>
          <w:u w:val="single"/>
        </w:rPr>
      </w:pPr>
      <w:r>
        <w:rPr>
          <w:sz w:val="24"/>
        </w:rPr>
        <w:t>□其他方式，具体要求：</w:t>
      </w:r>
      <w:r>
        <w:rPr>
          <w:rFonts w:hint="eastAsia"/>
          <w:sz w:val="24"/>
          <w:u w:val="single"/>
        </w:rPr>
        <w:t xml:space="preserve">  / </w:t>
      </w:r>
    </w:p>
    <w:p>
      <w:pPr>
        <w:numPr>
          <w:ilvl w:val="2"/>
          <w:numId w:val="7"/>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pPr>
        <w:numPr>
          <w:ilvl w:val="2"/>
          <w:numId w:val="7"/>
        </w:numPr>
        <w:tabs>
          <w:tab w:val="left" w:pos="1080"/>
          <w:tab w:val="left" w:pos="1589"/>
          <w:tab w:val="left" w:pos="2035"/>
        </w:tabs>
        <w:snapToGrid w:val="0"/>
        <w:spacing w:line="360" w:lineRule="auto"/>
        <w:ind w:left="2035"/>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pPr>
        <w:numPr>
          <w:ilvl w:val="0"/>
          <w:numId w:val="7"/>
        </w:numPr>
        <w:tabs>
          <w:tab w:val="left" w:pos="360"/>
        </w:tabs>
        <w:snapToGrid w:val="0"/>
        <w:spacing w:line="360" w:lineRule="auto"/>
        <w:outlineLvl w:val="1"/>
        <w:rPr>
          <w:sz w:val="24"/>
        </w:rPr>
      </w:pPr>
      <w:r>
        <w:rPr>
          <w:sz w:val="24"/>
        </w:rPr>
        <w:t>确定</w:t>
      </w:r>
      <w:bookmarkStart w:id="953" w:name="_Toc226965819"/>
      <w:bookmarkStart w:id="954" w:name="_Toc226337242"/>
      <w:bookmarkStart w:id="955" w:name="_Toc265228384"/>
      <w:bookmarkStart w:id="956" w:name="_Toc150509297"/>
      <w:bookmarkStart w:id="957" w:name="_Toc305158814"/>
      <w:bookmarkStart w:id="958" w:name="_Toc150774646"/>
      <w:bookmarkStart w:id="959" w:name="_Toc127151546"/>
      <w:bookmarkStart w:id="960" w:name="_Toc151193716"/>
      <w:bookmarkStart w:id="961" w:name="_Toc151193788"/>
      <w:bookmarkStart w:id="962" w:name="_Toc149720839"/>
      <w:bookmarkStart w:id="963" w:name="_Ref467307010"/>
      <w:bookmarkStart w:id="964" w:name="_Toc305158888"/>
      <w:bookmarkStart w:id="965" w:name="_Toc151193644"/>
      <w:bookmarkStart w:id="966" w:name="_Toc127161460"/>
      <w:bookmarkStart w:id="967" w:name="_Toc150774751"/>
      <w:bookmarkStart w:id="968" w:name="_Toc151193934"/>
      <w:bookmarkStart w:id="969" w:name="_Toc150480784"/>
      <w:bookmarkStart w:id="970" w:name="_Toc164351640"/>
      <w:bookmarkStart w:id="971" w:name="_Toc151190173"/>
      <w:bookmarkStart w:id="972" w:name="_Toc164229241"/>
      <w:bookmarkStart w:id="973" w:name="_Toc164608815"/>
      <w:bookmarkStart w:id="974" w:name="_Toc226965736"/>
      <w:bookmarkStart w:id="975" w:name="_Toc151193860"/>
      <w:bookmarkStart w:id="976" w:name="_Toc195842911"/>
      <w:bookmarkStart w:id="977" w:name="_Toc164229387"/>
      <w:bookmarkStart w:id="978" w:name="_Toc264969236"/>
      <w:bookmarkStart w:id="979" w:name="_Toc226309790"/>
      <w:bookmarkStart w:id="980" w:name="_Toc520356170"/>
      <w:bookmarkStart w:id="981" w:name="_Toc142311048"/>
      <w:bookmarkStart w:id="982" w:name="_Toc127151747"/>
      <w:bookmarkStart w:id="983" w:name="_Toc164608660"/>
      <w:r>
        <w:rPr>
          <w:sz w:val="24"/>
        </w:rPr>
        <w:t>中标候选人名单</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pPr>
        <w:numPr>
          <w:ilvl w:val="1"/>
          <w:numId w:val="7"/>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pPr>
        <w:pStyle w:val="24"/>
        <w:tabs>
          <w:tab w:val="left" w:pos="900"/>
          <w:tab w:val="left" w:pos="2127"/>
        </w:tabs>
        <w:adjustRightInd w:val="0"/>
        <w:snapToGrid w:val="0"/>
        <w:spacing w:line="360" w:lineRule="auto"/>
        <w:ind w:left="993" w:firstLine="102" w:firstLineChars="57"/>
        <w:rPr>
          <w:rFonts w:hint="default" w:ascii="Times New Roman" w:hAnsi="Times New Roman"/>
          <w:sz w:val="24"/>
          <w:szCs w:val="24"/>
        </w:rPr>
      </w:pPr>
      <w:r>
        <w:rPr>
          <w:sz w:val="18"/>
          <w:szCs w:val="18"/>
        </w:rPr>
        <w:t>■</w:t>
      </w:r>
      <w:r>
        <w:rPr>
          <w:rFonts w:hint="default" w:ascii="Times New Roman" w:hAnsi="Times New Roman"/>
          <w:sz w:val="24"/>
          <w:szCs w:val="24"/>
        </w:rPr>
        <w:t>其他方式，具体要求：</w:t>
      </w:r>
      <w:r>
        <w:rPr>
          <w:sz w:val="24"/>
          <w:u w:val="single"/>
        </w:rPr>
        <w:t xml:space="preserve"> 技术部分得分最高的投标人获得中标人推荐资格。  </w:t>
      </w:r>
    </w:p>
    <w:p>
      <w:pPr>
        <w:numPr>
          <w:ilvl w:val="1"/>
          <w:numId w:val="7"/>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7"/>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7"/>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pPr>
        <w:numPr>
          <w:ilvl w:val="1"/>
          <w:numId w:val="7"/>
        </w:numPr>
        <w:tabs>
          <w:tab w:val="left" w:pos="1080"/>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pPr>
        <w:numPr>
          <w:ilvl w:val="0"/>
          <w:numId w:val="7"/>
        </w:numPr>
        <w:tabs>
          <w:tab w:val="left" w:pos="360"/>
        </w:tabs>
        <w:snapToGrid w:val="0"/>
        <w:spacing w:line="360" w:lineRule="auto"/>
        <w:outlineLvl w:val="1"/>
        <w:rPr>
          <w:sz w:val="24"/>
        </w:rPr>
      </w:pPr>
      <w:r>
        <w:rPr>
          <w:sz w:val="24"/>
        </w:rPr>
        <w:t>报告违法行为</w:t>
      </w:r>
    </w:p>
    <w:p>
      <w:pPr>
        <w:numPr>
          <w:ilvl w:val="1"/>
          <w:numId w:val="7"/>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pPr>
        <w:widowControl/>
        <w:jc w:val="center"/>
        <w:rPr>
          <w:b/>
        </w:rPr>
      </w:pPr>
      <w:r>
        <w:rPr>
          <w:b/>
          <w:sz w:val="24"/>
        </w:rPr>
        <w:br w:type="page"/>
      </w:r>
      <w:r>
        <w:rPr>
          <w:b/>
          <w:sz w:val="24"/>
        </w:rPr>
        <w:t>二、评标标准</w:t>
      </w:r>
    </w:p>
    <w:p>
      <w:pPr>
        <w:tabs>
          <w:tab w:val="left" w:pos="360"/>
          <w:tab w:val="left" w:pos="900"/>
          <w:tab w:val="left" w:pos="1080"/>
          <w:tab w:val="left" w:pos="2014"/>
        </w:tabs>
        <w:snapToGrid w:val="0"/>
        <w:spacing w:line="360" w:lineRule="auto"/>
        <w:rPr>
          <w:sz w:val="24"/>
        </w:rPr>
      </w:pPr>
    </w:p>
    <w:tbl>
      <w:tblPr>
        <w:tblStyle w:val="42"/>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98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730" w:type="dxa"/>
            <w:noWrap w:val="0"/>
            <w:vAlign w:val="center"/>
          </w:tcPr>
          <w:p>
            <w:pPr>
              <w:widowControl/>
              <w:spacing w:line="360" w:lineRule="auto"/>
              <w:ind w:right="-57" w:rightChars="-27"/>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6987" w:type="dxa"/>
            <w:noWrap w:val="0"/>
            <w:vAlign w:val="center"/>
          </w:tcPr>
          <w:p>
            <w:pPr>
              <w:widowControl/>
              <w:spacing w:line="360" w:lineRule="auto"/>
              <w:ind w:right="-57" w:rightChars="-27"/>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评审因素及说明</w:t>
            </w:r>
          </w:p>
        </w:tc>
        <w:tc>
          <w:tcPr>
            <w:tcW w:w="1134" w:type="dxa"/>
            <w:noWrap w:val="0"/>
            <w:vAlign w:val="center"/>
          </w:tcPr>
          <w:p>
            <w:pPr>
              <w:widowControl/>
              <w:spacing w:line="360" w:lineRule="auto"/>
              <w:ind w:right="-57" w:rightChars="-27"/>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851" w:type="dxa"/>
            <w:gridSpan w:val="3"/>
            <w:noWrap w:val="0"/>
            <w:vAlign w:val="center"/>
          </w:tcPr>
          <w:p>
            <w:pPr>
              <w:widowControl/>
              <w:spacing w:line="360" w:lineRule="auto"/>
              <w:ind w:left="422" w:right="-57" w:rightChars="-27" w:hanging="422"/>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一、商务部分(1</w:t>
            </w:r>
            <w:r>
              <w:rPr>
                <w:rFonts w:hint="eastAsia" w:asciiTheme="minorEastAsia" w:hAnsiTheme="minorEastAsia" w:eastAsiaTheme="minorEastAsia" w:cstheme="minorEastAsia"/>
                <w:b/>
                <w:sz w:val="24"/>
                <w:szCs w:val="24"/>
                <w:lang w:val="en-US" w:eastAsia="zh-CN"/>
              </w:rPr>
              <w:t>5</w:t>
            </w:r>
            <w:r>
              <w:rPr>
                <w:rFonts w:hint="eastAsia" w:asciiTheme="minorEastAsia" w:hAnsiTheme="minorEastAsia" w:eastAsiaTheme="minorEastAsia" w:cs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pPr>
              <w:widowControl/>
              <w:spacing w:line="360" w:lineRule="auto"/>
              <w:ind w:left="420" w:right="-57" w:rightChars="-27" w:hanging="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6987" w:type="dxa"/>
            <w:noWrap w:val="0"/>
            <w:vAlign w:val="center"/>
          </w:tcPr>
          <w:p>
            <w:pPr>
              <w:widowControl/>
              <w:spacing w:line="360" w:lineRule="auto"/>
              <w:ind w:right="-57" w:rightChars="-27"/>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资质证书：</w:t>
            </w:r>
          </w:p>
          <w:p>
            <w:pPr>
              <w:widowControl/>
              <w:numPr>
                <w:ilvl w:val="0"/>
                <w:numId w:val="9"/>
              </w:numPr>
              <w:spacing w:line="360" w:lineRule="auto"/>
              <w:ind w:right="-57" w:rightChars="-27"/>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投标人具有ISO9001质量管理体系认证证书的，得</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分；</w:t>
            </w:r>
          </w:p>
          <w:p>
            <w:pPr>
              <w:widowControl/>
              <w:numPr>
                <w:ilvl w:val="0"/>
                <w:numId w:val="9"/>
              </w:numPr>
              <w:spacing w:line="360" w:lineRule="auto"/>
              <w:ind w:right="-57" w:rightChars="-27"/>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投标人具有ISO14001环境管理体系认证证书的，得</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分；</w:t>
            </w:r>
          </w:p>
          <w:p>
            <w:pPr>
              <w:widowControl/>
              <w:numPr>
                <w:ilvl w:val="0"/>
                <w:numId w:val="9"/>
              </w:numPr>
              <w:spacing w:line="360" w:lineRule="auto"/>
              <w:ind w:right="-57" w:rightChars="-27"/>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投标人具有ISO45001职业健康安全管理体系认证证书的，得</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分；</w:t>
            </w:r>
          </w:p>
          <w:p>
            <w:pPr>
              <w:widowControl/>
              <w:numPr>
                <w:ilvl w:val="0"/>
                <w:numId w:val="9"/>
              </w:numPr>
              <w:spacing w:line="360" w:lineRule="auto"/>
              <w:ind w:right="-57" w:rightChars="-27"/>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投标人具有AAA企业信用等级证书的，得</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w:t>
            </w:r>
          </w:p>
          <w:p>
            <w:pPr>
              <w:widowControl/>
              <w:spacing w:line="360" w:lineRule="auto"/>
              <w:ind w:right="-57" w:rightChars="-27"/>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未提供相关证明材料不得分。</w:t>
            </w:r>
          </w:p>
        </w:tc>
        <w:tc>
          <w:tcPr>
            <w:tcW w:w="1134" w:type="dxa"/>
            <w:noWrap w:val="0"/>
            <w:vAlign w:val="center"/>
          </w:tcPr>
          <w:p>
            <w:pPr>
              <w:widowControl/>
              <w:spacing w:line="360" w:lineRule="auto"/>
              <w:ind w:right="-57" w:rightChars="-27"/>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0" w:type="dxa"/>
            <w:noWrap w:val="0"/>
            <w:vAlign w:val="center"/>
          </w:tcPr>
          <w:p>
            <w:pPr>
              <w:widowControl/>
              <w:spacing w:line="360" w:lineRule="auto"/>
              <w:ind w:left="420" w:right="-57" w:rightChars="-27" w:hanging="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6987" w:type="dxa"/>
            <w:noWrap w:val="0"/>
            <w:vAlign w:val="center"/>
          </w:tcPr>
          <w:p>
            <w:pPr>
              <w:widowControl/>
              <w:spacing w:line="360" w:lineRule="auto"/>
              <w:ind w:right="-57" w:rightChars="-27"/>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相关业绩</w:t>
            </w:r>
            <w:r>
              <w:rPr>
                <w:rFonts w:hint="eastAsia" w:asciiTheme="minorEastAsia" w:hAnsiTheme="minorEastAsia" w:eastAsiaTheme="minorEastAsia" w:cstheme="minorEastAsia"/>
                <w:kern w:val="0"/>
                <w:sz w:val="24"/>
                <w:szCs w:val="24"/>
              </w:rPr>
              <w:t>：</w:t>
            </w:r>
          </w:p>
          <w:p>
            <w:pPr>
              <w:widowControl/>
              <w:spacing w:line="360" w:lineRule="auto"/>
              <w:ind w:right="-57" w:rightChars="-27"/>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投标人自20</w:t>
            </w:r>
            <w:r>
              <w:rPr>
                <w:rFonts w:hint="eastAsia" w:asciiTheme="minorEastAsia" w:hAnsiTheme="minorEastAsia" w:eastAsiaTheme="minorEastAsia" w:cstheme="minorEastAsia"/>
                <w:kern w:val="0"/>
                <w:sz w:val="24"/>
                <w:szCs w:val="24"/>
                <w:lang w:val="en-US" w:eastAsia="zh-CN"/>
              </w:rPr>
              <w:t>21</w:t>
            </w:r>
            <w:r>
              <w:rPr>
                <w:rFonts w:hint="eastAsia" w:asciiTheme="minorEastAsia" w:hAnsiTheme="minorEastAsia" w:eastAsiaTheme="minorEastAsia" w:cstheme="minorEastAsia"/>
                <w:kern w:val="0"/>
                <w:sz w:val="24"/>
                <w:szCs w:val="24"/>
              </w:rPr>
              <w:t>年1月1日至投标截止日前，承担过与</w:t>
            </w:r>
            <w:r>
              <w:rPr>
                <w:rFonts w:hint="eastAsia" w:asciiTheme="minorEastAsia" w:hAnsiTheme="minorEastAsia" w:eastAsiaTheme="minorEastAsia" w:cstheme="minorEastAsia"/>
                <w:kern w:val="0"/>
                <w:sz w:val="24"/>
                <w:szCs w:val="24"/>
                <w:lang w:val="en-US" w:eastAsia="zh-CN"/>
              </w:rPr>
              <w:t>本项目</w:t>
            </w:r>
            <w:r>
              <w:rPr>
                <w:rFonts w:hint="eastAsia" w:asciiTheme="minorEastAsia" w:hAnsiTheme="minorEastAsia" w:eastAsiaTheme="minorEastAsia" w:cstheme="minorEastAsia"/>
                <w:kern w:val="0"/>
                <w:sz w:val="24"/>
                <w:szCs w:val="24"/>
              </w:rPr>
              <w:t>类似的项目，每提供一个合格业绩证明，得</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分，满分</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分。</w:t>
            </w:r>
          </w:p>
          <w:p>
            <w:pPr>
              <w:widowControl/>
              <w:spacing w:line="360" w:lineRule="auto"/>
              <w:ind w:right="-57" w:rightChars="-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（业绩证明材料应提供双方合同复印件，合同内容应包括但不限于：双方单位名称、委托金额、委托内容等）</w:t>
            </w:r>
          </w:p>
        </w:tc>
        <w:tc>
          <w:tcPr>
            <w:tcW w:w="1134" w:type="dxa"/>
            <w:noWrap w:val="0"/>
            <w:vAlign w:val="center"/>
          </w:tcPr>
          <w:p>
            <w:pPr>
              <w:widowControl/>
              <w:spacing w:line="360" w:lineRule="auto"/>
              <w:ind w:right="-57" w:rightChars="-27"/>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1" w:type="dxa"/>
            <w:gridSpan w:val="3"/>
            <w:noWrap w:val="0"/>
            <w:vAlign w:val="center"/>
          </w:tcPr>
          <w:p>
            <w:pPr>
              <w:widowControl/>
              <w:spacing w:line="360" w:lineRule="auto"/>
              <w:ind w:right="-57" w:rightChars="-27"/>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二、技术部分（</w:t>
            </w:r>
            <w:r>
              <w:rPr>
                <w:rFonts w:hint="eastAsia" w:asciiTheme="minorEastAsia" w:hAnsiTheme="minorEastAsia" w:eastAsiaTheme="minorEastAsia" w:cstheme="minorEastAsia"/>
                <w:b/>
                <w:sz w:val="24"/>
                <w:szCs w:val="24"/>
                <w:lang w:val="en-US" w:eastAsia="zh-CN"/>
              </w:rPr>
              <w:t>53</w:t>
            </w:r>
            <w:r>
              <w:rPr>
                <w:rFonts w:hint="eastAsia" w:asciiTheme="minorEastAsia" w:hAnsiTheme="minorEastAsia" w:eastAsiaTheme="minorEastAsia" w:cs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noWrap w:val="0"/>
            <w:vAlign w:val="center"/>
          </w:tcPr>
          <w:p>
            <w:pPr>
              <w:widowControl/>
              <w:spacing w:line="360" w:lineRule="auto"/>
              <w:ind w:left="420" w:right="-57" w:rightChars="-27" w:hanging="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6987" w:type="dxa"/>
            <w:noWrap w:val="0"/>
            <w:vAlign w:val="center"/>
          </w:tcPr>
          <w:p>
            <w:pPr>
              <w:widowControl/>
              <w:spacing w:line="360" w:lineRule="auto"/>
              <w:ind w:right="-57" w:rightChars="-2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设备技术性能：</w:t>
            </w:r>
          </w:p>
          <w:p>
            <w:pPr>
              <w:widowControl/>
              <w:spacing w:line="360" w:lineRule="auto"/>
              <w:ind w:right="-57" w:rightChars="-27"/>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投标人所投产品</w:t>
            </w:r>
            <w:r>
              <w:rPr>
                <w:rFonts w:hint="eastAsia" w:asciiTheme="minorEastAsia" w:hAnsiTheme="minorEastAsia" w:eastAsiaTheme="minorEastAsia" w:cstheme="minorEastAsia"/>
                <w:kern w:val="0"/>
                <w:sz w:val="24"/>
                <w:szCs w:val="24"/>
                <w:lang w:val="en-US" w:eastAsia="zh-CN"/>
              </w:rPr>
              <w:t>每有1项不满足技术指标要求，则扣0.5分。满分20分，扣完为止。</w:t>
            </w:r>
          </w:p>
          <w:p>
            <w:pPr>
              <w:widowControl/>
              <w:spacing w:line="360" w:lineRule="auto"/>
              <w:ind w:right="-57" w:rightChars="-2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lang w:val="en-US" w:eastAsia="zh-CN"/>
              </w:rPr>
              <w:t>具体指标偏离情况应填写在“采购需求偏离表”中</w:t>
            </w:r>
            <w:r>
              <w:rPr>
                <w:rFonts w:hint="eastAsia" w:asciiTheme="minorEastAsia" w:hAnsiTheme="minorEastAsia" w:eastAsiaTheme="minorEastAsia" w:cstheme="minorEastAsia"/>
                <w:bCs/>
                <w:sz w:val="24"/>
                <w:szCs w:val="24"/>
              </w:rPr>
              <w:t>。</w:t>
            </w:r>
          </w:p>
        </w:tc>
        <w:tc>
          <w:tcPr>
            <w:tcW w:w="1134" w:type="dxa"/>
            <w:noWrap w:val="0"/>
            <w:vAlign w:val="center"/>
          </w:tcPr>
          <w:p>
            <w:pPr>
              <w:widowControl/>
              <w:spacing w:line="360" w:lineRule="auto"/>
              <w:ind w:right="-57" w:rightChars="-27"/>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noWrap w:val="0"/>
            <w:vAlign w:val="center"/>
          </w:tcPr>
          <w:p>
            <w:pPr>
              <w:widowControl/>
              <w:spacing w:line="360" w:lineRule="auto"/>
              <w:ind w:left="420" w:right="-57" w:rightChars="-27" w:hanging="42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p>
        </w:tc>
        <w:tc>
          <w:tcPr>
            <w:tcW w:w="6987" w:type="dxa"/>
            <w:noWrap w:val="0"/>
            <w:vAlign w:val="center"/>
          </w:tcPr>
          <w:p>
            <w:pPr>
              <w:widowControl/>
              <w:spacing w:line="360" w:lineRule="auto"/>
              <w:ind w:right="-57" w:rightChars="-27"/>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人员团队：</w:t>
            </w:r>
          </w:p>
          <w:p>
            <w:pPr>
              <w:widowControl/>
              <w:spacing w:line="360" w:lineRule="auto"/>
              <w:ind w:right="-57" w:rightChars="-2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1）团队有效人员不少于5人（含），且分工合理、技术人员具备与项目履行相关的资质证书全面，得</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分；</w:t>
            </w:r>
          </w:p>
          <w:p>
            <w:pPr>
              <w:widowControl/>
              <w:spacing w:line="360" w:lineRule="auto"/>
              <w:ind w:right="-57" w:rightChars="-2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2）团队有效人员不少于5人（含），但是分工不合理、技术人员不具备与项目履行相关的资质证书，得</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分；</w:t>
            </w:r>
          </w:p>
          <w:p>
            <w:pPr>
              <w:widowControl/>
              <w:spacing w:line="360" w:lineRule="auto"/>
              <w:ind w:right="-57" w:rightChars="-2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3）团队有效人员不足5人，分工不合理，技术人员不具备与项目履行相关的资质证书，得1分。</w:t>
            </w:r>
          </w:p>
        </w:tc>
        <w:tc>
          <w:tcPr>
            <w:tcW w:w="1134" w:type="dxa"/>
            <w:noWrap w:val="0"/>
            <w:vAlign w:val="center"/>
          </w:tcPr>
          <w:p>
            <w:pPr>
              <w:widowControl/>
              <w:spacing w:line="360" w:lineRule="auto"/>
              <w:ind w:right="-57" w:rightChars="-27"/>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noWrap w:val="0"/>
            <w:vAlign w:val="center"/>
          </w:tcPr>
          <w:p>
            <w:pPr>
              <w:widowControl/>
              <w:spacing w:line="360" w:lineRule="auto"/>
              <w:ind w:left="420" w:right="-57" w:rightChars="-27" w:hanging="42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p>
        </w:tc>
        <w:tc>
          <w:tcPr>
            <w:tcW w:w="6987" w:type="dxa"/>
            <w:noWrap w:val="0"/>
            <w:vAlign w:val="center"/>
          </w:tcPr>
          <w:p>
            <w:pPr>
              <w:widowControl/>
              <w:spacing w:line="360" w:lineRule="auto"/>
              <w:ind w:right="-57" w:rightChars="-2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项目实施方案：</w:t>
            </w:r>
          </w:p>
          <w:p>
            <w:pPr>
              <w:widowControl/>
              <w:spacing w:line="360" w:lineRule="auto"/>
              <w:ind w:right="-57" w:rightChars="-2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根据各投标人提供的实施方案（包括但不限于：供货</w:t>
            </w:r>
            <w:r>
              <w:rPr>
                <w:rFonts w:hint="eastAsia" w:asciiTheme="minorEastAsia" w:hAnsiTheme="minorEastAsia" w:eastAsiaTheme="minorEastAsia" w:cstheme="minorEastAsia"/>
                <w:bCs/>
                <w:sz w:val="24"/>
                <w:szCs w:val="24"/>
                <w:lang w:val="en-US" w:eastAsia="zh-CN"/>
              </w:rPr>
              <w:t>方案</w:t>
            </w:r>
            <w:r>
              <w:rPr>
                <w:rFonts w:hint="eastAsia" w:asciiTheme="minorEastAsia" w:hAnsiTheme="minorEastAsia" w:eastAsiaTheme="minorEastAsia" w:cstheme="minorEastAsia"/>
                <w:bCs/>
                <w:sz w:val="24"/>
                <w:szCs w:val="24"/>
              </w:rPr>
              <w:t>、系统集成、质量保证</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履约验收</w:t>
            </w:r>
            <w:r>
              <w:rPr>
                <w:rFonts w:hint="eastAsia" w:asciiTheme="minorEastAsia" w:hAnsiTheme="minorEastAsia" w:eastAsiaTheme="minorEastAsia" w:cstheme="minorEastAsia"/>
                <w:bCs/>
                <w:sz w:val="24"/>
                <w:szCs w:val="24"/>
              </w:rPr>
              <w:t>）进行评审。</w:t>
            </w:r>
          </w:p>
          <w:p>
            <w:pPr>
              <w:widowControl/>
              <w:spacing w:line="360" w:lineRule="auto"/>
              <w:ind w:right="-57" w:rightChars="-27"/>
              <w:rPr>
                <w:rFonts w:cs="宋体"/>
                <w:color w:val="000000"/>
                <w:sz w:val="24"/>
                <w:lang w:eastAsia="zh-CN"/>
              </w:rPr>
            </w:pPr>
            <w:r>
              <w:rPr>
                <w:rFonts w:hint="eastAsia" w:cs="宋体"/>
                <w:color w:val="000000"/>
                <w:sz w:val="24"/>
                <w:lang w:eastAsia="zh-CN"/>
              </w:rPr>
              <w:t>方案全面完整、重点突出、亮点明确，得</w:t>
            </w:r>
            <w:r>
              <w:rPr>
                <w:rFonts w:hint="eastAsia" w:cs="宋体"/>
                <w:color w:val="000000"/>
                <w:sz w:val="24"/>
                <w:lang w:val="en-US" w:eastAsia="zh-CN"/>
              </w:rPr>
              <w:t>10</w:t>
            </w:r>
            <w:r>
              <w:rPr>
                <w:rFonts w:hint="eastAsia" w:cs="宋体"/>
                <w:color w:val="000000"/>
                <w:sz w:val="24"/>
                <w:lang w:eastAsia="zh-CN"/>
              </w:rPr>
              <w:t>分；</w:t>
            </w:r>
          </w:p>
          <w:p>
            <w:pPr>
              <w:widowControl/>
              <w:spacing w:line="360" w:lineRule="auto"/>
              <w:ind w:right="-57" w:rightChars="-27"/>
              <w:rPr>
                <w:rFonts w:cs="宋体"/>
                <w:color w:val="000000"/>
                <w:sz w:val="24"/>
                <w:lang w:eastAsia="zh-CN"/>
              </w:rPr>
            </w:pPr>
            <w:r>
              <w:rPr>
                <w:rFonts w:hint="eastAsia" w:cs="宋体"/>
                <w:color w:val="000000"/>
                <w:sz w:val="24"/>
                <w:lang w:eastAsia="zh-CN"/>
              </w:rPr>
              <w:t>方案较为全面、重点较为突出、亮点较为明确，得</w:t>
            </w:r>
            <w:r>
              <w:rPr>
                <w:rFonts w:hint="eastAsia" w:cs="宋体"/>
                <w:color w:val="000000"/>
                <w:sz w:val="24"/>
                <w:lang w:val="en-US" w:eastAsia="zh-CN"/>
              </w:rPr>
              <w:t>7</w:t>
            </w:r>
            <w:r>
              <w:rPr>
                <w:rFonts w:hint="eastAsia" w:cs="宋体"/>
                <w:color w:val="000000"/>
                <w:sz w:val="24"/>
                <w:lang w:eastAsia="zh-CN"/>
              </w:rPr>
              <w:t>分；</w:t>
            </w:r>
          </w:p>
          <w:p>
            <w:pPr>
              <w:widowControl/>
              <w:spacing w:line="360" w:lineRule="auto"/>
              <w:ind w:right="-57"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w:t>
            </w:r>
            <w:r>
              <w:rPr>
                <w:rFonts w:hint="eastAsia" w:cs="宋体"/>
                <w:color w:val="000000"/>
                <w:sz w:val="24"/>
                <w:lang w:val="en-US" w:eastAsia="zh-CN"/>
              </w:rPr>
              <w:t>4</w:t>
            </w:r>
            <w:r>
              <w:rPr>
                <w:rFonts w:hint="eastAsia" w:cs="宋体"/>
                <w:color w:val="000000"/>
                <w:sz w:val="24"/>
                <w:lang w:eastAsia="zh-CN"/>
              </w:rPr>
              <w:t>分；</w:t>
            </w:r>
          </w:p>
          <w:p>
            <w:pPr>
              <w:widowControl/>
              <w:spacing w:line="360" w:lineRule="auto"/>
              <w:ind w:right="-57" w:rightChars="-27"/>
              <w:rPr>
                <w:rFonts w:cs="宋体"/>
                <w:color w:val="000000"/>
                <w:sz w:val="24"/>
                <w:lang w:eastAsia="zh-CN"/>
              </w:rPr>
            </w:pPr>
            <w:r>
              <w:rPr>
                <w:rFonts w:hint="eastAsia" w:cs="宋体"/>
                <w:color w:val="000000"/>
                <w:sz w:val="24"/>
                <w:lang w:eastAsia="zh-CN"/>
              </w:rPr>
              <w:t>方案不够完整、重点不够突出、亮点不明确，得</w:t>
            </w:r>
            <w:r>
              <w:rPr>
                <w:rFonts w:hint="eastAsia" w:cs="宋体"/>
                <w:color w:val="000000"/>
                <w:sz w:val="24"/>
                <w:lang w:val="en-US" w:eastAsia="zh-CN"/>
              </w:rPr>
              <w:t>1</w:t>
            </w:r>
            <w:r>
              <w:rPr>
                <w:rFonts w:hint="eastAsia" w:cs="宋体"/>
                <w:color w:val="000000"/>
                <w:sz w:val="24"/>
                <w:lang w:eastAsia="zh-CN"/>
              </w:rPr>
              <w:t>分；</w:t>
            </w:r>
          </w:p>
          <w:p>
            <w:pPr>
              <w:widowControl/>
              <w:spacing w:line="360" w:lineRule="auto"/>
              <w:ind w:right="-57" w:rightChars="-27"/>
              <w:rPr>
                <w:rFonts w:hint="eastAsia" w:asciiTheme="minorEastAsia" w:hAnsiTheme="minorEastAsia" w:eastAsiaTheme="minorEastAsia" w:cstheme="minorEastAsia"/>
                <w:sz w:val="24"/>
                <w:szCs w:val="24"/>
              </w:rPr>
            </w:pPr>
            <w:r>
              <w:rPr>
                <w:rFonts w:hint="eastAsia" w:cs="宋体"/>
                <w:color w:val="000000"/>
                <w:sz w:val="24"/>
              </w:rPr>
              <w:t>未提供不得分。</w:t>
            </w:r>
          </w:p>
        </w:tc>
        <w:tc>
          <w:tcPr>
            <w:tcW w:w="1134" w:type="dxa"/>
            <w:noWrap w:val="0"/>
            <w:vAlign w:val="center"/>
          </w:tcPr>
          <w:p>
            <w:pPr>
              <w:widowControl/>
              <w:spacing w:line="360" w:lineRule="auto"/>
              <w:ind w:right="-57" w:rightChars="-27"/>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noWrap w:val="0"/>
            <w:vAlign w:val="center"/>
          </w:tcPr>
          <w:p>
            <w:pPr>
              <w:widowControl/>
              <w:spacing w:line="360" w:lineRule="auto"/>
              <w:ind w:left="420" w:right="-57" w:rightChars="-27" w:hanging="42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p>
        </w:tc>
        <w:tc>
          <w:tcPr>
            <w:tcW w:w="6987" w:type="dxa"/>
            <w:noWrap w:val="0"/>
            <w:vAlign w:val="center"/>
          </w:tcPr>
          <w:p>
            <w:pPr>
              <w:widowControl/>
              <w:spacing w:line="360" w:lineRule="auto"/>
              <w:ind w:right="-57" w:rightChars="-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进度保证方案：</w:t>
            </w:r>
          </w:p>
          <w:p>
            <w:pPr>
              <w:widowControl/>
              <w:spacing w:line="360" w:lineRule="auto"/>
              <w:ind w:right="-57" w:rightChars="-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根据各投标人提供的进度保证方案进行评审：</w:t>
            </w:r>
          </w:p>
          <w:p>
            <w:pPr>
              <w:widowControl/>
              <w:spacing w:line="360" w:lineRule="auto"/>
              <w:ind w:right="-57" w:rightChars="-27"/>
              <w:rPr>
                <w:rFonts w:cs="宋体"/>
                <w:color w:val="000000"/>
                <w:sz w:val="24"/>
                <w:lang w:eastAsia="zh-CN"/>
              </w:rPr>
            </w:pPr>
            <w:r>
              <w:rPr>
                <w:rFonts w:hint="eastAsia" w:cs="宋体"/>
                <w:color w:val="000000"/>
                <w:sz w:val="24"/>
                <w:lang w:eastAsia="zh-CN"/>
              </w:rPr>
              <w:t>方案全面完整、重点突出、亮点明确，得</w:t>
            </w:r>
            <w:r>
              <w:rPr>
                <w:rFonts w:hint="eastAsia" w:cs="宋体"/>
                <w:color w:val="000000"/>
                <w:sz w:val="24"/>
                <w:lang w:val="en-US" w:eastAsia="zh-CN"/>
              </w:rPr>
              <w:t>6</w:t>
            </w:r>
            <w:r>
              <w:rPr>
                <w:rFonts w:hint="eastAsia" w:cs="宋体"/>
                <w:color w:val="000000"/>
                <w:sz w:val="24"/>
                <w:lang w:eastAsia="zh-CN"/>
              </w:rPr>
              <w:t>分；</w:t>
            </w:r>
          </w:p>
          <w:p>
            <w:pPr>
              <w:widowControl/>
              <w:spacing w:line="360" w:lineRule="auto"/>
              <w:ind w:right="-57" w:rightChars="-27"/>
              <w:rPr>
                <w:rFonts w:cs="宋体"/>
                <w:color w:val="000000"/>
                <w:sz w:val="24"/>
                <w:lang w:eastAsia="zh-CN"/>
              </w:rPr>
            </w:pPr>
            <w:r>
              <w:rPr>
                <w:rFonts w:hint="eastAsia" w:cs="宋体"/>
                <w:color w:val="000000"/>
                <w:sz w:val="24"/>
                <w:lang w:eastAsia="zh-CN"/>
              </w:rPr>
              <w:t>方案较为全面、重点较为突出、亮点较为明确，得</w:t>
            </w:r>
            <w:r>
              <w:rPr>
                <w:rFonts w:hint="eastAsia" w:cs="宋体"/>
                <w:color w:val="000000"/>
                <w:sz w:val="24"/>
                <w:lang w:val="en-US" w:eastAsia="zh-CN"/>
              </w:rPr>
              <w:t>4</w:t>
            </w:r>
            <w:r>
              <w:rPr>
                <w:rFonts w:hint="eastAsia" w:cs="宋体"/>
                <w:color w:val="000000"/>
                <w:sz w:val="24"/>
                <w:lang w:eastAsia="zh-CN"/>
              </w:rPr>
              <w:t>分；</w:t>
            </w:r>
          </w:p>
          <w:p>
            <w:pPr>
              <w:widowControl/>
              <w:spacing w:line="360" w:lineRule="auto"/>
              <w:ind w:right="-57"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w:t>
            </w:r>
            <w:r>
              <w:rPr>
                <w:rFonts w:hint="eastAsia" w:cs="宋体"/>
                <w:color w:val="000000"/>
                <w:sz w:val="24"/>
                <w:lang w:val="en-US" w:eastAsia="zh-CN"/>
              </w:rPr>
              <w:t>2</w:t>
            </w:r>
            <w:r>
              <w:rPr>
                <w:rFonts w:hint="eastAsia" w:cs="宋体"/>
                <w:color w:val="000000"/>
                <w:sz w:val="24"/>
                <w:lang w:eastAsia="zh-CN"/>
              </w:rPr>
              <w:t>分；</w:t>
            </w:r>
          </w:p>
          <w:p>
            <w:pPr>
              <w:widowControl/>
              <w:spacing w:line="360" w:lineRule="auto"/>
              <w:ind w:right="-57" w:rightChars="-27"/>
              <w:rPr>
                <w:rFonts w:cs="宋体"/>
                <w:color w:val="000000"/>
                <w:sz w:val="24"/>
                <w:lang w:eastAsia="zh-CN"/>
              </w:rPr>
            </w:pPr>
            <w:r>
              <w:rPr>
                <w:rFonts w:hint="eastAsia" w:cs="宋体"/>
                <w:color w:val="000000"/>
                <w:sz w:val="24"/>
                <w:lang w:eastAsia="zh-CN"/>
              </w:rPr>
              <w:t>方案不够完整、重点不够突出、亮点不明确，得</w:t>
            </w:r>
            <w:r>
              <w:rPr>
                <w:rFonts w:hint="eastAsia" w:cs="宋体"/>
                <w:color w:val="000000"/>
                <w:sz w:val="24"/>
                <w:lang w:val="en-US" w:eastAsia="zh-CN"/>
              </w:rPr>
              <w:t>1</w:t>
            </w:r>
            <w:r>
              <w:rPr>
                <w:rFonts w:hint="eastAsia" w:cs="宋体"/>
                <w:color w:val="000000"/>
                <w:sz w:val="24"/>
                <w:lang w:eastAsia="zh-CN"/>
              </w:rPr>
              <w:t>分；</w:t>
            </w:r>
          </w:p>
          <w:p>
            <w:pPr>
              <w:widowControl/>
              <w:spacing w:line="360" w:lineRule="auto"/>
              <w:ind w:right="-57" w:rightChars="-27"/>
              <w:rPr>
                <w:rFonts w:hint="eastAsia" w:asciiTheme="minorEastAsia" w:hAnsiTheme="minorEastAsia" w:eastAsiaTheme="minorEastAsia" w:cstheme="minorEastAsia"/>
                <w:sz w:val="24"/>
                <w:szCs w:val="24"/>
              </w:rPr>
            </w:pPr>
            <w:r>
              <w:rPr>
                <w:rFonts w:hint="eastAsia" w:cs="宋体"/>
                <w:color w:val="000000"/>
                <w:sz w:val="24"/>
              </w:rPr>
              <w:t>未提供不得分。</w:t>
            </w:r>
          </w:p>
        </w:tc>
        <w:tc>
          <w:tcPr>
            <w:tcW w:w="1134" w:type="dxa"/>
            <w:noWrap w:val="0"/>
            <w:vAlign w:val="center"/>
          </w:tcPr>
          <w:p>
            <w:pPr>
              <w:widowControl/>
              <w:spacing w:line="360" w:lineRule="auto"/>
              <w:ind w:right="-57" w:rightChars="-27"/>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noWrap w:val="0"/>
            <w:vAlign w:val="center"/>
          </w:tcPr>
          <w:p>
            <w:pPr>
              <w:widowControl/>
              <w:spacing w:line="360" w:lineRule="auto"/>
              <w:ind w:left="420" w:right="-57" w:rightChars="-27" w:hanging="42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w:t>
            </w:r>
          </w:p>
        </w:tc>
        <w:tc>
          <w:tcPr>
            <w:tcW w:w="6987" w:type="dxa"/>
            <w:noWrap w:val="0"/>
            <w:vAlign w:val="center"/>
          </w:tcPr>
          <w:p>
            <w:pPr>
              <w:widowControl/>
              <w:adjustRightInd w:val="0"/>
              <w:snapToGrid w:val="0"/>
              <w:spacing w:line="360" w:lineRule="auto"/>
              <w:ind w:right="-57" w:rightChars="-27"/>
              <w:rPr>
                <w:rFonts w:hint="eastAsia" w:cs="宋体"/>
                <w:b/>
                <w:bCs/>
                <w:color w:val="000000"/>
                <w:sz w:val="24"/>
                <w:lang w:val="en-US" w:eastAsia="zh-CN"/>
              </w:rPr>
            </w:pPr>
            <w:r>
              <w:rPr>
                <w:rFonts w:hint="eastAsia" w:cs="宋体"/>
                <w:b/>
                <w:bCs/>
                <w:color w:val="000000"/>
                <w:sz w:val="24"/>
                <w:lang w:val="en-US" w:eastAsia="zh-CN"/>
              </w:rPr>
              <w:t>技术支持与培训：</w:t>
            </w:r>
          </w:p>
          <w:p>
            <w:pPr>
              <w:widowControl/>
              <w:adjustRightInd w:val="0"/>
              <w:snapToGrid w:val="0"/>
              <w:spacing w:line="360" w:lineRule="auto"/>
              <w:ind w:right="-57" w:rightChars="-2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w:t>
            </w:r>
            <w:r>
              <w:rPr>
                <w:rFonts w:hint="eastAsia" w:asciiTheme="minorEastAsia" w:hAnsiTheme="minorEastAsia" w:eastAsiaTheme="minorEastAsia" w:cstheme="minorEastAsia"/>
                <w:bCs/>
                <w:sz w:val="24"/>
                <w:szCs w:val="24"/>
                <w:lang w:val="en-US" w:eastAsia="zh-CN"/>
              </w:rPr>
              <w:t>各</w:t>
            </w:r>
            <w:r>
              <w:rPr>
                <w:rFonts w:hint="eastAsia" w:asciiTheme="minorEastAsia" w:hAnsiTheme="minorEastAsia" w:eastAsiaTheme="minorEastAsia" w:cstheme="minorEastAsia"/>
                <w:bCs/>
                <w:sz w:val="24"/>
                <w:szCs w:val="24"/>
              </w:rPr>
              <w:t>投标</w:t>
            </w:r>
            <w:r>
              <w:rPr>
                <w:rFonts w:hint="eastAsia" w:asciiTheme="minorEastAsia" w:hAnsiTheme="minorEastAsia" w:eastAsiaTheme="minorEastAsia" w:cstheme="minorEastAsia"/>
                <w:bCs/>
                <w:sz w:val="24"/>
                <w:szCs w:val="24"/>
                <w:lang w:val="en-US" w:eastAsia="zh-CN"/>
              </w:rPr>
              <w:t>人技术支持与培训方案进行评审</w:t>
            </w:r>
            <w:r>
              <w:rPr>
                <w:rFonts w:hint="eastAsia" w:asciiTheme="minorEastAsia" w:hAnsiTheme="minorEastAsia" w:eastAsiaTheme="minorEastAsia" w:cstheme="minorEastAsia"/>
                <w:bCs/>
                <w:sz w:val="24"/>
                <w:szCs w:val="24"/>
              </w:rPr>
              <w:t>：</w:t>
            </w:r>
          </w:p>
          <w:p>
            <w:pPr>
              <w:widowControl/>
              <w:spacing w:line="360" w:lineRule="auto"/>
              <w:ind w:right="-57" w:rightChars="-27"/>
              <w:rPr>
                <w:rFonts w:cs="宋体"/>
                <w:color w:val="000000"/>
                <w:sz w:val="24"/>
                <w:lang w:eastAsia="zh-CN"/>
              </w:rPr>
            </w:pPr>
            <w:r>
              <w:rPr>
                <w:rFonts w:hint="eastAsia" w:cs="宋体"/>
                <w:color w:val="000000"/>
                <w:sz w:val="24"/>
                <w:lang w:eastAsia="zh-CN"/>
              </w:rPr>
              <w:t>方案全面完整、重点突出、亮点明确，得</w:t>
            </w:r>
            <w:r>
              <w:rPr>
                <w:rFonts w:hint="eastAsia" w:cs="宋体"/>
                <w:color w:val="000000"/>
                <w:sz w:val="24"/>
                <w:lang w:val="en-US" w:eastAsia="zh-CN"/>
              </w:rPr>
              <w:t>6</w:t>
            </w:r>
            <w:r>
              <w:rPr>
                <w:rFonts w:hint="eastAsia" w:cs="宋体"/>
                <w:color w:val="000000"/>
                <w:sz w:val="24"/>
                <w:lang w:eastAsia="zh-CN"/>
              </w:rPr>
              <w:t>分；</w:t>
            </w:r>
          </w:p>
          <w:p>
            <w:pPr>
              <w:widowControl/>
              <w:spacing w:line="360" w:lineRule="auto"/>
              <w:ind w:right="-57" w:rightChars="-27"/>
              <w:rPr>
                <w:rFonts w:cs="宋体"/>
                <w:color w:val="000000"/>
                <w:sz w:val="24"/>
                <w:lang w:eastAsia="zh-CN"/>
              </w:rPr>
            </w:pPr>
            <w:r>
              <w:rPr>
                <w:rFonts w:hint="eastAsia" w:cs="宋体"/>
                <w:color w:val="000000"/>
                <w:sz w:val="24"/>
                <w:lang w:eastAsia="zh-CN"/>
              </w:rPr>
              <w:t>方案较为全面、重点较为突出、亮点较为明确，得</w:t>
            </w:r>
            <w:r>
              <w:rPr>
                <w:rFonts w:hint="eastAsia" w:cs="宋体"/>
                <w:color w:val="000000"/>
                <w:sz w:val="24"/>
                <w:lang w:val="en-US" w:eastAsia="zh-CN"/>
              </w:rPr>
              <w:t>4</w:t>
            </w:r>
            <w:r>
              <w:rPr>
                <w:rFonts w:hint="eastAsia" w:cs="宋体"/>
                <w:color w:val="000000"/>
                <w:sz w:val="24"/>
                <w:lang w:eastAsia="zh-CN"/>
              </w:rPr>
              <w:t>分；</w:t>
            </w:r>
          </w:p>
          <w:p>
            <w:pPr>
              <w:widowControl/>
              <w:spacing w:line="360" w:lineRule="auto"/>
              <w:ind w:right="-57"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w:t>
            </w:r>
            <w:r>
              <w:rPr>
                <w:rFonts w:hint="eastAsia" w:cs="宋体"/>
                <w:color w:val="000000"/>
                <w:sz w:val="24"/>
                <w:lang w:val="en-US" w:eastAsia="zh-CN"/>
              </w:rPr>
              <w:t>2</w:t>
            </w:r>
            <w:r>
              <w:rPr>
                <w:rFonts w:hint="eastAsia" w:cs="宋体"/>
                <w:color w:val="000000"/>
                <w:sz w:val="24"/>
                <w:lang w:eastAsia="zh-CN"/>
              </w:rPr>
              <w:t>分；</w:t>
            </w:r>
          </w:p>
          <w:p>
            <w:pPr>
              <w:widowControl/>
              <w:spacing w:line="360" w:lineRule="auto"/>
              <w:ind w:right="-57" w:rightChars="-27"/>
              <w:rPr>
                <w:rFonts w:cs="宋体"/>
                <w:color w:val="000000"/>
                <w:sz w:val="24"/>
                <w:lang w:eastAsia="zh-CN"/>
              </w:rPr>
            </w:pPr>
            <w:r>
              <w:rPr>
                <w:rFonts w:hint="eastAsia" w:cs="宋体"/>
                <w:color w:val="000000"/>
                <w:sz w:val="24"/>
                <w:lang w:eastAsia="zh-CN"/>
              </w:rPr>
              <w:t>方案不够完整、重点不够突出、亮点不明确，得</w:t>
            </w:r>
            <w:r>
              <w:rPr>
                <w:rFonts w:hint="eastAsia" w:cs="宋体"/>
                <w:color w:val="000000"/>
                <w:sz w:val="24"/>
                <w:lang w:val="en-US" w:eastAsia="zh-CN"/>
              </w:rPr>
              <w:t>1</w:t>
            </w:r>
            <w:r>
              <w:rPr>
                <w:rFonts w:hint="eastAsia" w:cs="宋体"/>
                <w:color w:val="000000"/>
                <w:sz w:val="24"/>
                <w:lang w:eastAsia="zh-CN"/>
              </w:rPr>
              <w:t>分；</w:t>
            </w:r>
          </w:p>
          <w:p>
            <w:pPr>
              <w:pStyle w:val="2"/>
              <w:rPr>
                <w:rFonts w:hint="eastAsia"/>
                <w:lang w:val="en-US" w:eastAsia="zh-CN"/>
              </w:rPr>
            </w:pPr>
            <w:r>
              <w:rPr>
                <w:rFonts w:hint="eastAsia" w:cs="宋体"/>
                <w:color w:val="000000"/>
                <w:sz w:val="24"/>
              </w:rPr>
              <w:t>未提供不得分。</w:t>
            </w:r>
          </w:p>
          <w:p>
            <w:pPr>
              <w:pStyle w:val="2"/>
              <w:rPr>
                <w:rFonts w:hint="default"/>
                <w:lang w:val="en-US" w:eastAsia="zh-CN"/>
              </w:rPr>
            </w:pPr>
          </w:p>
        </w:tc>
        <w:tc>
          <w:tcPr>
            <w:tcW w:w="1134" w:type="dxa"/>
            <w:noWrap w:val="0"/>
            <w:vAlign w:val="center"/>
          </w:tcPr>
          <w:p>
            <w:pPr>
              <w:widowControl/>
              <w:spacing w:line="360" w:lineRule="auto"/>
              <w:ind w:left="420" w:right="-57" w:rightChars="-27" w:hanging="42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noWrap w:val="0"/>
            <w:vAlign w:val="center"/>
          </w:tcPr>
          <w:p>
            <w:pPr>
              <w:widowControl/>
              <w:spacing w:line="360" w:lineRule="auto"/>
              <w:ind w:left="420" w:right="-57" w:rightChars="-27" w:hanging="42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p>
        </w:tc>
        <w:tc>
          <w:tcPr>
            <w:tcW w:w="6987" w:type="dxa"/>
            <w:noWrap w:val="0"/>
            <w:vAlign w:val="center"/>
          </w:tcPr>
          <w:p>
            <w:pPr>
              <w:widowControl/>
              <w:adjustRightInd w:val="0"/>
              <w:snapToGrid w:val="0"/>
              <w:spacing w:line="360" w:lineRule="auto"/>
              <w:ind w:right="-57" w:rightChars="-2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售后服务方案：</w:t>
            </w:r>
          </w:p>
          <w:p>
            <w:pPr>
              <w:widowControl/>
              <w:adjustRightInd w:val="0"/>
              <w:snapToGrid w:val="0"/>
              <w:spacing w:line="360" w:lineRule="auto"/>
              <w:ind w:right="-57" w:rightChars="-2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w:t>
            </w:r>
            <w:r>
              <w:rPr>
                <w:rFonts w:hint="eastAsia" w:asciiTheme="minorEastAsia" w:hAnsiTheme="minorEastAsia" w:eastAsiaTheme="minorEastAsia" w:cstheme="minorEastAsia"/>
                <w:bCs/>
                <w:sz w:val="24"/>
                <w:szCs w:val="24"/>
                <w:lang w:val="en-US" w:eastAsia="zh-CN"/>
              </w:rPr>
              <w:t>各</w:t>
            </w:r>
            <w:r>
              <w:rPr>
                <w:rFonts w:hint="eastAsia" w:asciiTheme="minorEastAsia" w:hAnsiTheme="minorEastAsia" w:eastAsiaTheme="minorEastAsia" w:cstheme="minorEastAsia"/>
                <w:bCs/>
                <w:sz w:val="24"/>
                <w:szCs w:val="24"/>
              </w:rPr>
              <w:t>投标人售后服务方案（包括：响应时间、服务内容、故障处理办法、其它服务承诺等）进行评审：</w:t>
            </w:r>
          </w:p>
          <w:p>
            <w:pPr>
              <w:widowControl/>
              <w:spacing w:line="360" w:lineRule="auto"/>
              <w:ind w:right="-57" w:rightChars="-27"/>
              <w:rPr>
                <w:rFonts w:cs="宋体"/>
                <w:color w:val="000000"/>
                <w:sz w:val="24"/>
                <w:lang w:eastAsia="zh-CN"/>
              </w:rPr>
            </w:pPr>
            <w:r>
              <w:rPr>
                <w:rFonts w:hint="eastAsia" w:cs="宋体"/>
                <w:color w:val="000000"/>
                <w:sz w:val="24"/>
                <w:lang w:eastAsia="zh-CN"/>
              </w:rPr>
              <w:t>方案全面完整、重点突出、亮点明确，得</w:t>
            </w:r>
            <w:r>
              <w:rPr>
                <w:rFonts w:hint="eastAsia" w:cs="宋体"/>
                <w:color w:val="000000"/>
                <w:sz w:val="24"/>
                <w:lang w:val="en-US" w:eastAsia="zh-CN"/>
              </w:rPr>
              <w:t>6</w:t>
            </w:r>
            <w:r>
              <w:rPr>
                <w:rFonts w:hint="eastAsia" w:cs="宋体"/>
                <w:color w:val="000000"/>
                <w:sz w:val="24"/>
                <w:lang w:eastAsia="zh-CN"/>
              </w:rPr>
              <w:t>分；</w:t>
            </w:r>
          </w:p>
          <w:p>
            <w:pPr>
              <w:widowControl/>
              <w:spacing w:line="360" w:lineRule="auto"/>
              <w:ind w:right="-57" w:rightChars="-27"/>
              <w:rPr>
                <w:rFonts w:cs="宋体"/>
                <w:color w:val="000000"/>
                <w:sz w:val="24"/>
                <w:lang w:eastAsia="zh-CN"/>
              </w:rPr>
            </w:pPr>
            <w:r>
              <w:rPr>
                <w:rFonts w:hint="eastAsia" w:cs="宋体"/>
                <w:color w:val="000000"/>
                <w:sz w:val="24"/>
                <w:lang w:eastAsia="zh-CN"/>
              </w:rPr>
              <w:t>方案较为全面、重点较为突出、亮点较为明确，得</w:t>
            </w:r>
            <w:r>
              <w:rPr>
                <w:rFonts w:hint="eastAsia" w:cs="宋体"/>
                <w:color w:val="000000"/>
                <w:sz w:val="24"/>
                <w:lang w:val="en-US" w:eastAsia="zh-CN"/>
              </w:rPr>
              <w:t>4</w:t>
            </w:r>
            <w:r>
              <w:rPr>
                <w:rFonts w:hint="eastAsia" w:cs="宋体"/>
                <w:color w:val="000000"/>
                <w:sz w:val="24"/>
                <w:lang w:eastAsia="zh-CN"/>
              </w:rPr>
              <w:t>分；</w:t>
            </w:r>
          </w:p>
          <w:p>
            <w:pPr>
              <w:widowControl/>
              <w:spacing w:line="360" w:lineRule="auto"/>
              <w:ind w:right="-57"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w:t>
            </w:r>
            <w:r>
              <w:rPr>
                <w:rFonts w:hint="eastAsia" w:cs="宋体"/>
                <w:color w:val="000000"/>
                <w:sz w:val="24"/>
                <w:lang w:val="en-US" w:eastAsia="zh-CN"/>
              </w:rPr>
              <w:t>2</w:t>
            </w:r>
            <w:r>
              <w:rPr>
                <w:rFonts w:hint="eastAsia" w:cs="宋体"/>
                <w:color w:val="000000"/>
                <w:sz w:val="24"/>
                <w:lang w:eastAsia="zh-CN"/>
              </w:rPr>
              <w:t>分；</w:t>
            </w:r>
          </w:p>
          <w:p>
            <w:pPr>
              <w:widowControl/>
              <w:spacing w:line="360" w:lineRule="auto"/>
              <w:ind w:right="-57" w:rightChars="-27"/>
              <w:rPr>
                <w:rFonts w:cs="宋体"/>
                <w:color w:val="000000"/>
                <w:sz w:val="24"/>
                <w:lang w:eastAsia="zh-CN"/>
              </w:rPr>
            </w:pPr>
            <w:r>
              <w:rPr>
                <w:rFonts w:hint="eastAsia" w:cs="宋体"/>
                <w:color w:val="000000"/>
                <w:sz w:val="24"/>
                <w:lang w:eastAsia="zh-CN"/>
              </w:rPr>
              <w:t>方案不够完整、重点不够突出、亮点不明确，得</w:t>
            </w:r>
            <w:r>
              <w:rPr>
                <w:rFonts w:hint="eastAsia" w:cs="宋体"/>
                <w:color w:val="000000"/>
                <w:sz w:val="24"/>
                <w:lang w:val="en-US" w:eastAsia="zh-CN"/>
              </w:rPr>
              <w:t>1</w:t>
            </w:r>
            <w:r>
              <w:rPr>
                <w:rFonts w:hint="eastAsia" w:cs="宋体"/>
                <w:color w:val="000000"/>
                <w:sz w:val="24"/>
                <w:lang w:eastAsia="zh-CN"/>
              </w:rPr>
              <w:t>分；</w:t>
            </w:r>
          </w:p>
          <w:p>
            <w:pPr>
              <w:widowControl/>
              <w:adjustRightInd w:val="0"/>
              <w:snapToGrid w:val="0"/>
              <w:spacing w:line="360" w:lineRule="auto"/>
              <w:ind w:right="-57" w:rightChars="-27"/>
              <w:rPr>
                <w:rFonts w:hint="eastAsia" w:asciiTheme="minorEastAsia" w:hAnsiTheme="minorEastAsia" w:eastAsiaTheme="minorEastAsia" w:cstheme="minorEastAsia"/>
                <w:bCs/>
                <w:sz w:val="24"/>
                <w:szCs w:val="24"/>
              </w:rPr>
            </w:pPr>
            <w:r>
              <w:rPr>
                <w:rFonts w:hint="eastAsia" w:cs="宋体"/>
                <w:color w:val="000000"/>
                <w:sz w:val="24"/>
              </w:rPr>
              <w:t>未提供不得分。</w:t>
            </w:r>
          </w:p>
        </w:tc>
        <w:tc>
          <w:tcPr>
            <w:tcW w:w="1134" w:type="dxa"/>
            <w:noWrap w:val="0"/>
            <w:vAlign w:val="center"/>
          </w:tcPr>
          <w:p>
            <w:pPr>
              <w:widowControl/>
              <w:spacing w:line="360" w:lineRule="auto"/>
              <w:ind w:left="420" w:right="-57" w:rightChars="-27" w:hanging="42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51" w:type="dxa"/>
            <w:gridSpan w:val="3"/>
            <w:noWrap w:val="0"/>
            <w:vAlign w:val="center"/>
          </w:tcPr>
          <w:p>
            <w:pPr>
              <w:widowControl/>
              <w:spacing w:line="360" w:lineRule="auto"/>
              <w:ind w:right="-57" w:rightChars="-27"/>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三、价格部分（</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0" w:type="dxa"/>
            <w:noWrap w:val="0"/>
            <w:vAlign w:val="center"/>
          </w:tcPr>
          <w:p>
            <w:pPr>
              <w:widowControl/>
              <w:spacing w:line="360" w:lineRule="auto"/>
              <w:ind w:left="420" w:right="-57" w:rightChars="-27" w:hanging="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6987" w:type="dxa"/>
            <w:noWrap w:val="0"/>
            <w:vAlign w:val="center"/>
          </w:tcPr>
          <w:p>
            <w:pPr>
              <w:widowControl/>
              <w:spacing w:line="360" w:lineRule="auto"/>
              <w:ind w:right="-57" w:rightChars="-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以符合招标文件要求的最低评标价为基准价，基准价得满分</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0分，其它投标人的评标价得分=（基准价/该投标人的评标价）×</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c>
          <w:tcPr>
            <w:tcW w:w="1134" w:type="dxa"/>
            <w:noWrap w:val="0"/>
            <w:vAlign w:val="center"/>
          </w:tcPr>
          <w:p>
            <w:pPr>
              <w:widowControl/>
              <w:spacing w:line="360" w:lineRule="auto"/>
              <w:ind w:left="420" w:right="-57" w:rightChars="-27" w:hanging="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851" w:type="dxa"/>
            <w:gridSpan w:val="3"/>
            <w:noWrap w:val="0"/>
            <w:vAlign w:val="center"/>
          </w:tcPr>
          <w:p>
            <w:pPr>
              <w:widowControl/>
              <w:spacing w:line="360" w:lineRule="auto"/>
              <w:ind w:right="-57" w:rightChars="-27"/>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四、节能环保（2分）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0" w:type="dxa"/>
            <w:noWrap w:val="0"/>
            <w:vAlign w:val="center"/>
          </w:tcPr>
          <w:p>
            <w:pPr>
              <w:widowControl/>
              <w:ind w:left="420" w:hanging="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w:t>
            </w:r>
          </w:p>
        </w:tc>
        <w:tc>
          <w:tcPr>
            <w:tcW w:w="6987" w:type="dxa"/>
            <w:noWrap w:val="0"/>
            <w:vAlign w:val="center"/>
          </w:tcPr>
          <w:p>
            <w:pPr>
              <w:widowControl/>
              <w:spacing w:line="360" w:lineRule="auto"/>
              <w:ind w:right="-57" w:rightChars="-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投标产品每有一项为政府采购节能产品得0.2分，每有一项为政府采购环境标志产品得0.2分，最多得2分。</w:t>
            </w:r>
          </w:p>
          <w:p>
            <w:pPr>
              <w:widowControl/>
              <w:spacing w:line="360" w:lineRule="auto"/>
              <w:ind w:right="-57" w:rightChars="-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注：投标人自行提供政府采购节能产品或环境标志产品证明文件，否则不予考虑，详见表后说明。</w:t>
            </w:r>
          </w:p>
        </w:tc>
        <w:tc>
          <w:tcPr>
            <w:tcW w:w="1134" w:type="dxa"/>
            <w:noWrap w:val="0"/>
            <w:vAlign w:val="center"/>
          </w:tcPr>
          <w:p>
            <w:pPr>
              <w:widowControl/>
              <w:ind w:left="420" w:hanging="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w:t>
            </w:r>
          </w:p>
        </w:tc>
      </w:tr>
    </w:tbl>
    <w:p>
      <w:pPr>
        <w:tabs>
          <w:tab w:val="left" w:pos="360"/>
          <w:tab w:val="left" w:pos="1080"/>
        </w:tabs>
        <w:snapToGrid w:val="0"/>
        <w:spacing w:line="360" w:lineRule="auto"/>
        <w:ind w:left="1080"/>
        <w:rPr>
          <w:color w:val="000000"/>
          <w:sz w:val="24"/>
        </w:rPr>
      </w:pPr>
    </w:p>
    <w:p>
      <w:pPr>
        <w:widowControl/>
        <w:jc w:val="left"/>
        <w:rPr>
          <w:b/>
          <w:sz w:val="24"/>
        </w:rPr>
      </w:pPr>
    </w:p>
    <w:p>
      <w:pPr>
        <w:spacing w:line="360" w:lineRule="auto"/>
        <w:jc w:val="center"/>
        <w:outlineLvl w:val="0"/>
        <w:rPr>
          <w:b/>
          <w:sz w:val="36"/>
          <w:szCs w:val="36"/>
        </w:rPr>
      </w:pPr>
      <w:r>
        <w:rPr>
          <w:b/>
          <w:sz w:val="24"/>
        </w:rPr>
        <w:br w:type="page"/>
      </w:r>
      <w:bookmarkStart w:id="984" w:name="_Toc26752"/>
      <w:r>
        <w:rPr>
          <w:b/>
          <w:sz w:val="36"/>
          <w:szCs w:val="36"/>
        </w:rPr>
        <w:t>第五章   采购需求</w:t>
      </w:r>
      <w:bookmarkEnd w:id="984"/>
    </w:p>
    <w:p>
      <w:pPr>
        <w:spacing w:line="360" w:lineRule="auto"/>
        <w:contextualSpacing/>
        <w:rPr>
          <w:sz w:val="24"/>
        </w:rPr>
      </w:pPr>
    </w:p>
    <w:p>
      <w:pPr>
        <w:pStyle w:val="120"/>
        <w:numPr>
          <w:ilvl w:val="0"/>
          <w:numId w:val="10"/>
        </w:numPr>
        <w:spacing w:line="360" w:lineRule="auto"/>
        <w:ind w:firstLineChars="0"/>
        <w:contextualSpacing/>
        <w:rPr>
          <w:b/>
          <w:sz w:val="24"/>
          <w:szCs w:val="24"/>
        </w:rPr>
      </w:pPr>
      <w:r>
        <w:rPr>
          <w:rFonts w:hint="eastAsia"/>
          <w:b/>
          <w:sz w:val="24"/>
          <w:szCs w:val="24"/>
          <w:lang w:val="en-US" w:eastAsia="zh-CN"/>
        </w:rPr>
        <w:t>设备参数要求</w:t>
      </w:r>
    </w:p>
    <w:tbl>
      <w:tblPr>
        <w:tblStyle w:val="42"/>
        <w:tblW w:w="107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910"/>
        <w:gridCol w:w="940"/>
        <w:gridCol w:w="1070"/>
        <w:gridCol w:w="558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blHeader/>
          <w:jc w:val="center"/>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5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配置需求</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blHeader/>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主扩扬声器音柱</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1.驱动单元：4 x 5"低频单元，1 x 1.2"高音单元；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2.频率范围：80 Hz 至 20 kHz(-10dB)；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3.指向角度：垂直分布：25°，水平分布：120°；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4.最大输出 (1m)：124 dB峰值；功率：180W持续；360W节目功率；720W峰值功率；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2通道功放</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1.通道数：2通道；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2.额定功率：8Ω：2*500W； 4Ω：2*850W； 2Ω：2*1440W；                                      16Ω（桥接）：1000W；  8Ω（桥接）：1700W； 4Ω（桥接）：2880W；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3.100V定压：2*850W；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4.70V定压：2*500W；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5.支持90VAC~260VAC宽电压适应范围；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6.保护功能：电源欠压保护、功放输出直流保护、过热保护、温度功率控制、过载功率控制；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7.定阻模式（支持2～16欧负载）；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8.定压模式（支持100V或70V定压）；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9.THD+N：典型值：0.05%（10%额定输出功率，8Ω）；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10.串扰抑制：≥90dB（低于额定功率，20Hz-1kHz，8Ω）；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11.频率响应：典型值：+0，-0.5dB(10额定输出功率，20Hz-20kHz,8Ω)；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12.输入阻抗：20kΩ（平衡），10kΩ（非平衡）；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13.阻尼系数：300（20Hz-20kHz,8Ω）；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14.信噪比：100dB（默认增益A记权，20Hz-20kHz，8Ω）；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1.话筒输入：不低于8路话筒输入；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2.调音台输入通道：不低于12路输入通道；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3.编组母线：4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4.辅助母线：2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5.主母线：立体声支持；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6.总谐波失真：〈0.5%, 22Hz-22KHz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7.频率响应：20Hz-20KHz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8.哼声和噪声：ENI:-135dB residual output noise: 96dB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9.串音：96dB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10.电源转换器：110V,220V,230V，240V ；60/70Hz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11.功耗：30W</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1.采样率/量化位数： 48K/24bit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2.DSP浮点运算引擎： 40bit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3.DSP处理能力： 400 MIPS，1.6 GFLOPS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4.采样率： 48 kHz，± 100 ppm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5.输入动态范围： 110dB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6.输出动态范围： 112dB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7.输入增益： 0/3/6/9/12/15/18/21/24/27/30/33/36/39/42/45 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8.幻象电源： +48V/10mA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9.频率响应： (20~20kHz)：±0.5dB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10.最大电平： +18dBu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11.THD+N： &lt;-100dB @17dBu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12.通道隔离度： @1kHz：108dB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13.输入阻抗(平衡接法)： 5.4KΩ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14.输出阻抗(平衡接法)： 600Ω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15.延时： &lt;3ms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16.工作电源： AC110~240V,50Hz/60Hz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17.标准机柜安装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 AC220V/50Hz，单相3线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3.总容量Maximal： 63A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 8路插座输出,单相三线10A万能插座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5.面板控制： 时序控制开关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6.外部控制： 标准RS232串口控制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7.波特率： 2400，DC5~24V电压信号控制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无线鹅颈话筒（1拖4）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2、接收机明亮的LCD液晶显示，带6级电平显示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3、超宽频段521.25MHz-936.85MHz，CPU智能天线分集接收。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4、具有[AFS]自动搜索实际环境中最干净、无干扰频率功能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5、具有[IR]红外线自动对频功能，能实现一键对频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6、共4个频段，40个频组，可提供400个以上可调频点供用户选择。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7、手持麦克风音头可拆卸更换，可使用动圈或电容的音头，更可安装使用各国知名品牌的麦克风音头。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8、调制方式：FM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9、振荡方式：PLL频率合成技术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10、频带宽度：32MHz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11、综合S/N比：&gt;105dB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12、综合频率响应：50Hz-18KHz  ±3dB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13、工作有效距离：一般80米(空阔地方)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14、信噪比：&gt;52dB/1kHz于1Pa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15、灵敏度：-47 dB/1kHz于1Pa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16、最大输入声压：110dB SPL/1kHz于1% THD</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双通道领夹话筒</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1.双真分集天线支持根据信号强度自动切换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2.天线具备可拆卸设计；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3.射频频率范围：640-690MHz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4.可调信道数：100*2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5.振荡方式：PLL高精度锁相环技术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6.最大使用设备数量：6套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7.频率稳定度：&lt;±3ppm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8.接收方式：超外差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9.具有自动跟踪调谐技术，保证系统在任何频率工作时保持最佳稳定性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10.具有LED 高清屏幕显示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11.具有发射机电池电量指示功能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12.导频频率：30.72kHz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13.接收灵敏度：-98dBm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14.频率响应：60-16kHz±3dB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15.谐波失真：&lt;0.5%(1kHz,25mVrms)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16.信噪比：≥105dB(XLR端口)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17.音频输出：平衡输出XLR，6.35mm大三芯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18.电源规格：DC12V/0.5A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19.电源消耗：250mA，12V，功率≤3w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20.腰包无线发射机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21.射频频率范围 ：512-690MHz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22.频率响应：要优于或等于60-16kHz±3dB，50-18kHz±6dB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23.谐波失真：&lt;0.5%(1kHz,25mVrms)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24.信噪比：≥105dB(XLR端口)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25.开机速度：&lt;1秒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26.发射功率：5mW/10mW/30mW三档可选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27.电池规格：5号电池2节，使用时长不低于10小时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28.隐藏式领夹话筒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29.频率响应：20-20kHz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30.灵敏度：-43dBV/Pa(1kHz)，7mV/Pa（1kHz）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31.输出阻抗：680欧姆(1kHz)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32.指向性：心型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33.最大SPL（RMS）：110dB（1%THD）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34.信噪比：&gt;58dB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35.具有标准miniXLR接口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双通道手持话筒</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1.双通道UHF超高频真分集无线接收机，高度集成电路设计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2.1U紧凑设计，支持机架安装，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3.金属面板搭配高品质磨砂玻璃材质体现质感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4.双真分集天线支持根据信号强度自动切换，大幅度降低断频概率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5.天线低损耗，可拆卸设计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6.急速红外对频方式，对频距离远，锁定速度快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7.射频频率范围：640-690MHz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8.可调信道数：100*2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9.振荡方式：PLL高精度锁相环技术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10.最大使用设备数量：6套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11.频率稳定度：&lt;±3ppm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12.接收方式：超外差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13.自动跟踪调谐技术,保证系统在任何频率工作时保持最佳稳定性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14.LED 高清屏幕显示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15.发射机电池电量指示功能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16.更加稳定的数字导频方式，导频频率：30.72kHz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17.接收灵敏度：-98dBm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18.频率响应：60-16kHz±3dB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19.谐波失真：&lt;0.5%(1kHz,25mVrms)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20.信噪比：≥105dB(XLR端口)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21.音频输出：平衡输出XLR，6.35mm大三芯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22.电源规格：DC12V/0.5A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23.电源消耗：250mA，12V，功率≤3w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24.手持无线话筒（动圈）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25.射频频率范围 ：512-690MHz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26.音频频响：60-15kHz±3dB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27.灵敏度：-50.4dBV/Pa(1kHz)，3.02mV/Pa（1kHz）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28.指向性：超心型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29.输出阻抗：600欧（1kHz）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30.谐波失真：&lt;0.5%(1kHz,25mVrms)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31.开机速度：&lt;1秒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32.发射功率：5mW/10mW/30mW三档可选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33.电池规格：5号电池2节，使用时长不低于10小时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6"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无线麦克风信号放大器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1.（450一970MHZ天线分配器）是全频道的UHF天线分配器,它可以在多道系统中导引天线讯号从一对天线到多台接收机。分配器会放大射频讯号以弥补在分配过程中的衰减。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外置5安开关电源,可提供四组12V直流电给无线接收机。单一台天线分配器主机可支援最多16个天线通道端口频率响应450~970MHz ）（阻抗:50</w:t>
            </w:r>
            <w:r>
              <w:rPr>
                <w:rStyle w:val="251"/>
                <w:lang w:val="en-US" w:eastAsia="zh-CN" w:bidi="ar"/>
              </w:rPr>
              <w:t>Ω</w:t>
            </w:r>
            <w:r>
              <w:rPr>
                <w:rStyle w:val="252"/>
                <w:lang w:val="en-US" w:eastAsia="zh-CN" w:bidi="ar"/>
              </w:rPr>
              <w:t>）（输入交流电电压：100-240V）（输出直流电电压:12V 四组DC输出端子）（天线增幅器电压:12V)</w:t>
            </w:r>
            <w:r>
              <w:rPr>
                <w:rStyle w:val="252"/>
                <w:lang w:val="en-US" w:eastAsia="zh-CN" w:bidi="ar"/>
              </w:rPr>
              <w:br w:type="textWrapping"/>
            </w:r>
            <w:r>
              <w:rPr>
                <w:rStyle w:val="252"/>
                <w:lang w:val="en-US" w:eastAsia="zh-CN" w:bidi="ar"/>
              </w:rPr>
              <w:t>3. 采用对数周期偶极振子阵列,能够在面向所需的覆盖区域时提供最佳接收效果。</w:t>
            </w:r>
            <w:r>
              <w:rPr>
                <w:rStyle w:val="252"/>
                <w:lang w:val="en-US" w:eastAsia="zh-CN" w:bidi="ar"/>
              </w:rPr>
              <w:br w:type="textWrapping"/>
            </w:r>
            <w:r>
              <w:rPr>
                <w:rStyle w:val="252"/>
                <w:lang w:val="en-US" w:eastAsia="zh-CN" w:bidi="ar"/>
              </w:rPr>
              <w:t>4. 集成式放大器具有2个增益设置,用于补偿不同级别的同轴线缆信号损失。</w:t>
            </w:r>
            <w:r>
              <w:rPr>
                <w:rStyle w:val="252"/>
                <w:lang w:val="en-US" w:eastAsia="zh-CN" w:bidi="ar"/>
              </w:rPr>
              <w:br w:type="textWrapping"/>
            </w:r>
            <w:r>
              <w:rPr>
                <w:rStyle w:val="252"/>
                <w:lang w:val="en-US" w:eastAsia="zh-CN" w:bidi="ar"/>
              </w:rPr>
              <w:t>5. 可将天线叶子固定在话筒支架上,也可将其悬挂在天花板上,或者使用集成式可旋转</w:t>
            </w:r>
            <w:r>
              <w:rPr>
                <w:rStyle w:val="252"/>
                <w:lang w:val="en-US" w:eastAsia="zh-CN" w:bidi="ar"/>
              </w:rPr>
              <w:br w:type="textWrapping"/>
            </w:r>
            <w:r>
              <w:rPr>
                <w:rStyle w:val="252"/>
                <w:lang w:val="en-US" w:eastAsia="zh-CN" w:bidi="ar"/>
              </w:rPr>
              <w:t>支架固定在墙壁上。</w:t>
            </w:r>
            <w:r>
              <w:rPr>
                <w:rStyle w:val="252"/>
                <w:lang w:val="en-US" w:eastAsia="zh-CN" w:bidi="ar"/>
              </w:rPr>
              <w:br w:type="textWrapping"/>
            </w:r>
            <w:r>
              <w:rPr>
                <w:rStyle w:val="252"/>
                <w:lang w:val="en-US" w:eastAsia="zh-CN" w:bidi="ar"/>
              </w:rPr>
              <w:t>6. 低噪声信号放大器能够补偿同轴缆线的插入损失可与无线接收机和天线分配系统兼容,能够提供10-15伏直流偏压。</w:t>
            </w:r>
            <w:r>
              <w:rPr>
                <w:rStyle w:val="252"/>
                <w:lang w:val="en-US" w:eastAsia="zh-CN" w:bidi="ar"/>
              </w:rPr>
              <w:br w:type="textWrapping"/>
            </w:r>
            <w:r>
              <w:rPr>
                <w:rStyle w:val="252"/>
                <w:lang w:val="en-US" w:eastAsia="zh-CN" w:bidi="ar"/>
              </w:rPr>
              <w:t>7. 可将带有螺纹的集成式支架轻松地固定到话筒支架上。</w:t>
            </w:r>
            <w:r>
              <w:rPr>
                <w:rStyle w:val="252"/>
                <w:lang w:val="en-US" w:eastAsia="zh-CN" w:bidi="ar"/>
              </w:rPr>
              <w:br w:type="textWrapping"/>
            </w:r>
            <w:r>
              <w:rPr>
                <w:rStyle w:val="252"/>
                <w:lang w:val="en-US" w:eastAsia="zh-CN" w:bidi="ar"/>
              </w:rPr>
              <w:t>8. 天线盒子内置2档位增益选择开关(3dB或者10dB)。</w:t>
            </w:r>
            <w:r>
              <w:rPr>
                <w:rStyle w:val="252"/>
                <w:lang w:val="en-US" w:eastAsia="zh-CN" w:bidi="ar"/>
              </w:rPr>
              <w:br w:type="textWrapping"/>
            </w:r>
            <w:r>
              <w:rPr>
                <w:rStyle w:val="252"/>
                <w:lang w:val="en-US" w:eastAsia="zh-CN" w:bidi="ar"/>
              </w:rPr>
              <w:t>9. 产品的高质量、高可靠性和耐用性。</w:t>
            </w:r>
            <w:r>
              <w:rPr>
                <w:rStyle w:val="252"/>
                <w:lang w:val="en-US" w:eastAsia="zh-CN" w:bidi="ar"/>
              </w:rPr>
              <w:br w:type="textWrapping"/>
            </w:r>
            <w:r>
              <w:rPr>
                <w:rStyle w:val="252"/>
                <w:lang w:val="en-US" w:eastAsia="zh-CN" w:bidi="ar"/>
              </w:rPr>
              <w:t xml:space="preserve">10. 射频频率范围:450-970MHz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有源指向天线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天线放大器包含天线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8*8高清视频切换器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支持8路HDMI输入和8路HDMI输出HDMI 1.4a协议版本支持： 4K x 2K@30Hz、1080P@120Hz、1080P 3D@60Hz；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Deep Color 支持48/36/30/24-bit；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支持任意信号源在多个显示器上同时显示；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支持任意HDMI显示器随时查看任意HDMI信号源；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支持4K 30HZ输入输出；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两键式控制方式，设备控制更加简单有效，支持1路输入+N路输出图像切换；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支持通道快速关闭；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可视化按键，通过按键蓝光指示灯可实现输入输出通道状态可视化；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广电级交换芯片，图像切换单颗芯片即可完成，集成度更高；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集中控制功能，单台控制单元可控制多台矩阵，无需手动修改配置数据；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开放的控制代码，支持自行二次开发；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支持EDID可擦写与EDID自适应功能，更好适应现场多样化的显示设备，提高兼容性；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支持RS-232, 面板控制；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采用外置电源，航空式螺旋电源接口，为电源的稳定性保驾护航；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中控主机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 8路独可编程红外发射接口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8路独立可编程RS-232/422/485接口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8路信号弱电继电器接口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8路IO数字输入/输出接口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1路USB2.0编程通讯接口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3.网络通讯： RS485、CAN-Bus、Ethernet*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4.供电方式： AC100~240V</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Theme="minorEastAsia" w:hAnsiTheme="minorEastAsia" w:eastAsiaTheme="minorEastAsia" w:cstheme="minorEastAsia"/>
                <w:kern w:val="0"/>
                <w:sz w:val="24"/>
                <w:szCs w:val="24"/>
              </w:rPr>
              <w:t>★</w:t>
            </w:r>
            <w:r>
              <w:rPr>
                <w:rFonts w:hint="eastAsia" w:ascii="宋体" w:hAnsi="宋体" w:cs="宋体"/>
                <w:b/>
                <w:bCs/>
                <w:i w:val="0"/>
                <w:iCs w:val="0"/>
                <w:color w:val="000000"/>
                <w:kern w:val="0"/>
                <w:sz w:val="20"/>
                <w:szCs w:val="20"/>
                <w:u w:val="none"/>
                <w:lang w:val="en-US" w:eastAsia="zh-CN" w:bidi="ar"/>
              </w:rPr>
              <w:t>一期设备为</w:t>
            </w:r>
            <w:r>
              <w:rPr>
                <w:rFonts w:hint="eastAsia" w:ascii="宋体" w:hAnsi="宋体" w:eastAsia="宋体" w:cs="宋体"/>
                <w:b/>
                <w:bCs/>
                <w:i w:val="0"/>
                <w:iCs w:val="0"/>
                <w:color w:val="000000"/>
                <w:kern w:val="0"/>
                <w:sz w:val="20"/>
                <w:szCs w:val="20"/>
                <w:u w:val="none"/>
                <w:lang w:val="en-US" w:eastAsia="zh-CN" w:bidi="ar"/>
              </w:rPr>
              <w:t>北京广信恒生科技发展有限公司</w:t>
            </w:r>
            <w:r>
              <w:rPr>
                <w:rFonts w:hint="eastAsia" w:ascii="宋体" w:hAnsi="宋体" w:cs="宋体"/>
                <w:b/>
                <w:bCs/>
                <w:i w:val="0"/>
                <w:iCs w:val="0"/>
                <w:color w:val="000000"/>
                <w:kern w:val="0"/>
                <w:sz w:val="20"/>
                <w:szCs w:val="20"/>
                <w:u w:val="none"/>
                <w:lang w:val="en-US" w:eastAsia="zh-CN" w:bidi="ar"/>
              </w:rPr>
              <w:t>的GH-6K08ZJ。本次投标产品应</w:t>
            </w:r>
            <w:r>
              <w:rPr>
                <w:rFonts w:hint="eastAsia" w:ascii="宋体" w:hAnsi="宋体" w:eastAsia="宋体" w:cs="宋体"/>
                <w:b/>
                <w:bCs/>
                <w:i w:val="0"/>
                <w:iCs w:val="0"/>
                <w:color w:val="000000"/>
                <w:kern w:val="0"/>
                <w:sz w:val="20"/>
                <w:szCs w:val="20"/>
                <w:u w:val="none"/>
                <w:lang w:val="en-US" w:eastAsia="zh-CN" w:bidi="ar"/>
              </w:rPr>
              <w:t>与现有一期中控主机通讯协议兼容，实现多媒体设备集中控制管理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显示设备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1.分辨率：1920*1200；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2.亮度：5000lm；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3.对比度：15000：1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4.HDMI接口：2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5.梯形校正：垂直/水平：±30°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6.投射比：1.38-2.28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7.变焦比：1.6x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8.支持无线投影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9.支持双画面投影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120寸电动幕布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1.尺寸：120英寸16:9；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2.外壳材质：合金外壳，可壁挂；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3.支持天花安装和吊挂安装的方式；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4.静音管状电机：转速≥32rmp，扭力20KG/cm，定位精确，定位不大于0.5mm；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5.控制方式：支持RS232/485、干触点、无线遥控器的方式；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6.幕布材质：玻纤白塑幕，三层玻纤网基底的PVC夹层材质，前白后黑；表面带规则印花，漫反射成像在任何视角都不会降低图像的解析度；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7.增益≥1.0;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8.视角≥160°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9.满足标准：幕布符合RoHS环保标准，甲醛环保检测认证。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150寸电动幕布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1.尺寸：150英寸16:9；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2.外壳材质：合金外壳，可壁挂；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3.支持天花安装和吊挂安装的方式；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4.静音管状电机：转速≥32rmp，扭力20KG/cm，定位精确，定位不大于0.5mm；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5.控制方式：支持RS232/485、干触点、无线遥控器的方式；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6.幕布材质：玻纤白塑幕，三层玻纤网基底的PVC夹层材质，前白后黑；表面带规则印花，漫反射成像在任何视角都不会降低图像的解析度；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7.增益≥1.0;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8.视角≥160°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9.满足标准：幕布符合RoHS环保标准，甲醛环保检测认证。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设备机柜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1.高度：32U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2.19英寸标准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3.1600mm高600mm宽600mm深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机柜PDU</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机柜专用电源插座</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插线板5米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5米插线板8口国标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8口千兆交换机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1.小型交换机；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2.规格：8口千兆交换机；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无线路由器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1.千兆无线路由器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2.3000M无线速率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USB视频采集卡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1.HDMI视频采集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2.高清4K60Hz环出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3.笔记本电脑主机手机相机摄像机视频采集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全向麦克风</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1.8个单元全向MEMS麦克风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2.5米拾音半径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3.具有高保真的扬声器输出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4.具有AI降噪/回声消除/混响抑制功能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5.支持全双工通话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6.5台级联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7.USB即插即用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8.兼容主流会议软件，zoom、腾讯等；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音频转换器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1.USB转模拟信号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2.输入：有line 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3.输出：有line out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USB高清摄像头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1.122°超大广角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2.3倍光学变焦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3.水平云台旋转</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4.支持不少于4预置位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5.具有隐私保护设计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6.支持USB即插即用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7.长宽比：16：9</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8.编码格式：MJPEG 1080P@30fps，H264 1080P@30fps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9.支持系统： Windows/Mac/Linux</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10．多种网络协议：支持ONVIF、GB/T28181、RTSP、RTMP协议；支持RTMP推送模式，轻松链接流媒体服务器(Wowza、FMS)；支持RTP组播模式，支持网络全命令VISCA控制协议。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11．控制接口：RS485、RS232；RS232支持级联，方便工程安装使用。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12．多种控制协议：支持VISCA、PELCO-D、PELCO-P协议，支持自动识别协议。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摄像头控制键盘</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1.实时预览画面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2.一键锁定按键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3.多重控制协议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4.摄像机菜单远程操作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5.外接tally接口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辅助显示电视85寸</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1.运行内存/RAM：4GB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2.系统：Android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3.存储内存：64GB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4.CPU架构：四核A73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5.CPU核心数：四核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6.背光方式：miniLED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7.端口参数：USB2.0接口2个，具有HDMI(ARC)接口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8.HDMI2.1接口数3个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9.规格参数：含底座重量不高于39kg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10.显示参数：支持格式（高清）显示2160p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11.亮度：800尼特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12.屏幕比例：16:9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13.对比度：静态对比度：6000：1 动态对比度12000000：1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14.屏幕分辨率：超高清4K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15.屏幕尺寸：85英寸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电视推车移动式</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移动推车、32-85寸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HDMI分配器一分四</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一路输入四路输出  4K30Hz</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无线投屏器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主机*HDMI接口 发射器HDMI接口 电源*1 HDMI线*1 4K级 不小于20米传输</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话筒反馈抑制器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有效控制话筒收声及反馈音抑制效果 【5路复合插口输入】【带48V幻象供电】【一键全自动抑制啸叫】</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音频隔离器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双通道 输入输出接口 交流抗阻600欧到100K欧 频率响应：20HZ-20KHZ(0.2db ref 1khz，)卡侬+RCA莲花+3.5AUX噪音消除器 RCA/AV接口滤波器 电流声消除音响降噪器 电脑，功放，调音台，音箱 多设备适配，支持热插拔。</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电脑设备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便携办公设备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 I5/内存16G/存储SSD 512G</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电脑设备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直播工作站（台式</w:t>
            </w:r>
            <w:r>
              <w:rPr>
                <w:rFonts w:hint="eastAsia" w:ascii="宋体" w:hAnsi="宋体" w:cs="宋体"/>
                <w:i w:val="0"/>
                <w:iCs w:val="0"/>
                <w:color w:val="000000"/>
                <w:kern w:val="0"/>
                <w:sz w:val="20"/>
                <w:szCs w:val="20"/>
                <w:highlight w:val="none"/>
                <w:u w:val="none"/>
                <w:lang w:val="en-US" w:eastAsia="zh-CN" w:bidi="ar"/>
              </w:rPr>
              <w:t>设备</w:t>
            </w:r>
            <w:r>
              <w:rPr>
                <w:rFonts w:hint="eastAsia" w:ascii="宋体" w:hAnsi="宋体" w:eastAsia="宋体" w:cs="宋体"/>
                <w:i w:val="0"/>
                <w:iCs w:val="0"/>
                <w:color w:val="000000"/>
                <w:kern w:val="0"/>
                <w:sz w:val="20"/>
                <w:szCs w:val="20"/>
                <w:highlight w:val="none"/>
                <w:u w:val="none"/>
                <w:lang w:val="en-US" w:eastAsia="zh-CN" w:bidi="ar"/>
              </w:rPr>
              <w:t>需要双显示器，4路采集卡）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 I7/内存32G/存储SSD 512G+2T/4口视频采集卡HDMI接口/4G独显/21.5寸*2(HDMI接口)/Win10专业版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电脑设备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平板</w:t>
            </w:r>
            <w:r>
              <w:rPr>
                <w:rFonts w:hint="eastAsia" w:ascii="宋体" w:hAnsi="宋体" w:cs="宋体"/>
                <w:i w:val="0"/>
                <w:iCs w:val="0"/>
                <w:color w:val="000000"/>
                <w:kern w:val="0"/>
                <w:sz w:val="20"/>
                <w:szCs w:val="20"/>
                <w:highlight w:val="none"/>
                <w:u w:val="none"/>
                <w:lang w:val="en-US" w:eastAsia="zh-CN" w:bidi="ar"/>
              </w:rPr>
              <w:t>设备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1.10.2英寸平板</w:t>
            </w:r>
            <w:r>
              <w:rPr>
                <w:rFonts w:hint="eastAsia" w:ascii="宋体" w:hAnsi="宋体" w:cs="宋体"/>
                <w:i w:val="0"/>
                <w:iCs w:val="0"/>
                <w:color w:val="000000"/>
                <w:kern w:val="0"/>
                <w:sz w:val="20"/>
                <w:szCs w:val="20"/>
                <w:u w:val="none"/>
                <w:lang w:val="en-US" w:eastAsia="zh-CN" w:bidi="ar"/>
              </w:rPr>
              <w:t>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2.64GB WLAN版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网线网络插口</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会场控台直播线路（6类网线）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设备连接线。每个会场都需要一条3.5音频线讲台到机柜，一条HDMI线讲台到机柜。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备注：包含施工线材，管材，墙面插座，电源插座，设备连接跳线，施工安装辅材等，每个房间安装及线缆为预估量费用具体施工项需根据现场房间大小精准计算</w:t>
            </w:r>
          </w:p>
        </w:tc>
      </w:tr>
    </w:tbl>
    <w:p>
      <w:pPr>
        <w:spacing w:line="360" w:lineRule="auto"/>
        <w:ind w:firstLine="480" w:firstLineChars="200"/>
        <w:rPr>
          <w:rFonts w:asciiTheme="minorEastAsia" w:hAnsiTheme="minorEastAsia" w:eastAsiaTheme="minorEastAsia"/>
          <w:i/>
          <w:iCs/>
          <w:sz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lang w:val="en-US" w:eastAsia="zh-CN"/>
        </w:rPr>
      </w:pPr>
      <w:r>
        <w:rPr>
          <w:rFonts w:hint="eastAsia"/>
          <w:b w:val="0"/>
          <w:bCs/>
          <w:sz w:val="24"/>
          <w:lang w:val="en-US" w:eastAsia="zh-CN"/>
        </w:rPr>
        <w:t>投</w:t>
      </w:r>
      <w:r>
        <w:rPr>
          <w:rFonts w:hint="eastAsia" w:asciiTheme="minorEastAsia" w:hAnsiTheme="minorEastAsia" w:eastAsiaTheme="minorEastAsia" w:cstheme="minorEastAsia"/>
          <w:b w:val="0"/>
          <w:bCs/>
          <w:sz w:val="24"/>
          <w:szCs w:val="24"/>
          <w:lang w:val="en-US" w:eastAsia="zh-CN"/>
        </w:rPr>
        <w:t>标人应对上表中</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条款进行承诺，保证</w:t>
      </w:r>
      <w:r>
        <w:rPr>
          <w:rFonts w:hint="eastAsia" w:asciiTheme="minorEastAsia" w:hAnsiTheme="minorEastAsia" w:eastAsiaTheme="minorEastAsia" w:cstheme="minorEastAsia"/>
          <w:b w:val="0"/>
          <w:bCs/>
          <w:sz w:val="24"/>
          <w:szCs w:val="24"/>
        </w:rPr>
        <w:t>本次投标产品与现有一期中控主机通讯协议兼容，实现多媒体设备集中控制管理</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承诺书格式自拟。</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lang w:val="en-US" w:eastAsia="zh-CN"/>
        </w:rPr>
      </w:pP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500" w:leftChars="0" w:hanging="500" w:firstLineChars="0"/>
        <w:jc w:val="left"/>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其他要求</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交货地点：北京市怀柔区怀北镇河防口544号（北京雁栖湖应用数学研究院）</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交货期：中标人应在2024年6月28日之前完成所有设备的安装调试工作。</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技术支持：中标人应在安装调试后，提供不少于1个月的现场培训及技术支持。</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Chars="0"/>
        <w:jc w:val="left"/>
        <w:textAlignment w:val="auto"/>
        <w:rPr>
          <w:b/>
          <w:sz w:val="24"/>
        </w:rPr>
      </w:pPr>
      <w:r>
        <w:rPr>
          <w:rFonts w:hint="eastAsia" w:asciiTheme="minorEastAsia" w:hAnsiTheme="minorEastAsia" w:eastAsiaTheme="minorEastAsia" w:cstheme="minorEastAsia"/>
          <w:b w:val="0"/>
          <w:bCs/>
          <w:sz w:val="24"/>
          <w:szCs w:val="24"/>
          <w:lang w:val="en-US" w:eastAsia="zh-CN"/>
        </w:rPr>
        <w:t>付款方式详见合同章节。</w:t>
      </w:r>
      <w:r>
        <w:rPr>
          <w:b/>
          <w:sz w:val="24"/>
        </w:rPr>
        <w:br w:type="page"/>
      </w:r>
    </w:p>
    <w:p>
      <w:pPr>
        <w:widowControl/>
        <w:spacing w:line="360" w:lineRule="auto"/>
        <w:ind w:firstLine="482"/>
        <w:rPr>
          <w:b/>
          <w:sz w:val="24"/>
        </w:rPr>
      </w:pPr>
    </w:p>
    <w:p>
      <w:pPr>
        <w:spacing w:line="360" w:lineRule="auto"/>
        <w:jc w:val="center"/>
        <w:outlineLvl w:val="0"/>
        <w:rPr>
          <w:b/>
          <w:sz w:val="36"/>
          <w:szCs w:val="36"/>
        </w:rPr>
      </w:pPr>
      <w:bookmarkStart w:id="985" w:name="_Toc11842"/>
      <w:r>
        <w:rPr>
          <w:b/>
          <w:sz w:val="36"/>
          <w:szCs w:val="36"/>
        </w:rPr>
        <w:t>第六章   拟签订的合同文本</w:t>
      </w:r>
      <w:bookmarkEnd w:id="985"/>
    </w:p>
    <w:p>
      <w:pPr>
        <w:rPr>
          <w:rFonts w:asciiTheme="minorEastAsia" w:hAnsiTheme="minorEastAsia" w:eastAsiaTheme="minorEastAsia"/>
          <w:sz w:val="24"/>
        </w:rPr>
      </w:pPr>
    </w:p>
    <w:p>
      <w:pPr>
        <w:rPr>
          <w:rFonts w:asciiTheme="minorEastAsia" w:hAnsiTheme="minorEastAsia" w:eastAsiaTheme="minorEastAsia"/>
          <w:sz w:val="24"/>
        </w:rPr>
      </w:pPr>
    </w:p>
    <w:p>
      <w:pPr>
        <w:keepNext w:val="0"/>
        <w:keepLines w:val="0"/>
        <w:pageBreakBefore w:val="0"/>
        <w:widowControl w:val="0"/>
        <w:kinsoku/>
        <w:wordWrap/>
        <w:overflowPunct/>
        <w:topLinePunct w:val="0"/>
        <w:autoSpaceDE/>
        <w:autoSpaceDN/>
        <w:bidi w:val="0"/>
        <w:adjustRightInd/>
        <w:snapToGrid/>
        <w:spacing w:after="100" w:afterAutospacing="1" w:line="360" w:lineRule="auto"/>
        <w:jc w:val="center"/>
        <w:textAlignment w:val="auto"/>
        <w:rPr>
          <w:rFonts w:ascii="Times New Roman" w:hAnsi="Times New Roman" w:cs="Times New Roman"/>
          <w:color w:val="000000"/>
          <w:kern w:val="2"/>
          <w:sz w:val="24"/>
          <w:szCs w:val="24"/>
          <w:u w:val="single"/>
        </w:rPr>
      </w:pPr>
      <w:r>
        <w:rPr>
          <w:rFonts w:asciiTheme="minorEastAsia" w:hAnsiTheme="minorEastAsia" w:eastAsiaTheme="minorEastAsia"/>
          <w:b/>
          <w:sz w:val="24"/>
        </w:rPr>
        <w:br w:type="page"/>
      </w:r>
      <w:r>
        <w:rPr>
          <w:rFonts w:hint="eastAsia" w:ascii="Times New Roman" w:hAnsi="Times New Roman" w:cs="Times New Roman"/>
          <w:b/>
          <w:color w:val="000000"/>
          <w:kern w:val="2"/>
          <w:sz w:val="24"/>
          <w:szCs w:val="24"/>
        </w:rPr>
        <w:t>研究院新楼多媒体设备采购</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采购方（甲方）：</w:t>
      </w:r>
      <w:r>
        <w:rPr>
          <w:rFonts w:ascii="Times New Roman" w:hAnsi="Times New Roman" w:cs="Times New Roman"/>
          <w:b/>
          <w:bCs/>
          <w:color w:val="000000"/>
          <w:kern w:val="2"/>
          <w:sz w:val="24"/>
          <w:szCs w:val="24"/>
          <w:u w:val="single"/>
        </w:rPr>
        <w:t xml:space="preserve">                            </w:t>
      </w:r>
      <w:r>
        <w:rPr>
          <w:rFonts w:ascii="Times New Roman" w:hAnsi="Times New Roman" w:cs="Times New Roman"/>
          <w:b/>
          <w:bCs/>
          <w:color w:val="000000"/>
          <w:kern w:val="2"/>
          <w:sz w:val="24"/>
          <w:szCs w:val="24"/>
        </w:rPr>
        <w:t xml:space="preserve">  合同编号：</w:t>
      </w:r>
      <w:r>
        <w:rPr>
          <w:rFonts w:ascii="Times New Roman" w:hAnsi="Times New Roman" w:cs="Times New Roman"/>
          <w:b/>
          <w:bCs/>
          <w:color w:val="000000"/>
          <w:kern w:val="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after="100" w:afterAutospacing="1" w:line="360" w:lineRule="auto"/>
        <w:jc w:val="both"/>
        <w:textAlignment w:val="auto"/>
        <w:rPr>
          <w:rFonts w:ascii="Times New Roman" w:hAnsi="Times New Roman" w:cs="Times New Roman"/>
          <w:b/>
          <w:bCs/>
          <w:color w:val="000000"/>
          <w:kern w:val="2"/>
          <w:sz w:val="24"/>
          <w:szCs w:val="24"/>
          <w:u w:val="single"/>
        </w:rPr>
      </w:pPr>
      <w:r>
        <w:rPr>
          <w:rFonts w:ascii="Times New Roman" w:hAnsi="Times New Roman" w:cs="Times New Roman"/>
          <w:b/>
          <w:bCs/>
          <w:color w:val="000000"/>
          <w:kern w:val="2"/>
          <w:sz w:val="24"/>
          <w:szCs w:val="24"/>
        </w:rPr>
        <w:t>供货方（乙方）：</w:t>
      </w:r>
      <w:r>
        <w:rPr>
          <w:rFonts w:ascii="Times New Roman" w:hAnsi="Times New Roman" w:cs="Times New Roman"/>
          <w:b/>
          <w:bCs/>
          <w:color w:val="000000"/>
          <w:kern w:val="2"/>
          <w:sz w:val="24"/>
          <w:szCs w:val="24"/>
          <w:u w:val="single"/>
        </w:rPr>
        <w:t xml:space="preserve">                            </w:t>
      </w:r>
      <w:r>
        <w:rPr>
          <w:rFonts w:ascii="Times New Roman" w:hAnsi="Times New Roman" w:cs="Times New Roman"/>
          <w:b/>
          <w:bCs/>
          <w:color w:val="000000"/>
          <w:kern w:val="2"/>
          <w:sz w:val="24"/>
          <w:szCs w:val="24"/>
        </w:rPr>
        <w:t xml:space="preserve">  签约地点：</w:t>
      </w:r>
      <w:r>
        <w:rPr>
          <w:rFonts w:ascii="Times New Roman" w:hAnsi="Times New Roman" w:cs="Times New Roman"/>
          <w:b/>
          <w:bCs/>
          <w:color w:val="000000"/>
          <w:kern w:val="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after="100" w:afterAutospacing="1" w:line="360" w:lineRule="auto"/>
        <w:ind w:firstLine="437"/>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根据《中华人民共和国民法典》及其他法律、法规的有关规定，甲、乙双方在平等互利的基础上，遵循平等、自愿、公平、诚信的原则，经友好协商，达成如下协议：</w:t>
      </w:r>
    </w:p>
    <w:p>
      <w:pPr>
        <w:keepNext w:val="0"/>
        <w:keepLines w:val="0"/>
        <w:pageBreakBefore w:val="0"/>
        <w:widowControl w:val="0"/>
        <w:kinsoku/>
        <w:wordWrap/>
        <w:overflowPunct/>
        <w:topLinePunct w:val="0"/>
        <w:autoSpaceDE/>
        <w:autoSpaceDN/>
        <w:bidi w:val="0"/>
        <w:adjustRightInd/>
        <w:snapToGrid/>
        <w:spacing w:after="100" w:afterAutospacing="1" w:line="360" w:lineRule="auto"/>
        <w:ind w:firstLine="437"/>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本合同共分设备部分、安装部分和总协议部分；</w:t>
      </w:r>
    </w:p>
    <w:p>
      <w:pPr>
        <w:keepNext w:val="0"/>
        <w:keepLines w:val="0"/>
        <w:pageBreakBefore w:val="0"/>
        <w:widowControl w:val="0"/>
        <w:kinsoku/>
        <w:wordWrap/>
        <w:overflowPunct/>
        <w:topLinePunct w:val="0"/>
        <w:autoSpaceDE/>
        <w:autoSpaceDN/>
        <w:bidi w:val="0"/>
        <w:adjustRightInd/>
        <w:snapToGrid/>
        <w:spacing w:after="100" w:afterAutospacing="1" w:line="360" w:lineRule="auto"/>
        <w:ind w:firstLine="437"/>
        <w:jc w:val="both"/>
        <w:textAlignment w:val="auto"/>
        <w:rPr>
          <w:rFonts w:ascii="Times New Roman" w:hAnsi="Times New Roman" w:cs="Times New Roman"/>
          <w:color w:val="000000"/>
          <w:kern w:val="2"/>
          <w:sz w:val="24"/>
          <w:szCs w:val="24"/>
        </w:rPr>
      </w:pPr>
      <w:r>
        <w:rPr>
          <w:rFonts w:ascii="Times New Roman" w:hAnsi="Times New Roman" w:cs="Times New Roman"/>
          <w:b/>
          <w:color w:val="000000"/>
          <w:kern w:val="2"/>
          <w:sz w:val="24"/>
          <w:szCs w:val="24"/>
        </w:rPr>
        <w:t>合同总价含税款</w:t>
      </w:r>
      <w:r>
        <w:rPr>
          <w:rFonts w:ascii="Times New Roman" w:hAnsi="Times New Roman" w:cs="Times New Roman"/>
          <w:color w:val="000000"/>
          <w:kern w:val="2"/>
          <w:sz w:val="24"/>
          <w:szCs w:val="24"/>
        </w:rPr>
        <w:t>（设备+安装）大写</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（小写￥</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元），其中设备款为大写</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（小写￥</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元），安装费为大写</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（小写￥</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元）。</w:t>
      </w:r>
    </w:p>
    <w:p>
      <w:pPr>
        <w:keepNext w:val="0"/>
        <w:keepLines w:val="0"/>
        <w:pageBreakBefore w:val="0"/>
        <w:widowControl w:val="0"/>
        <w:kinsoku/>
        <w:wordWrap/>
        <w:overflowPunct/>
        <w:topLinePunct w:val="0"/>
        <w:autoSpaceDE/>
        <w:autoSpaceDN/>
        <w:bidi w:val="0"/>
        <w:adjustRightInd/>
        <w:snapToGrid/>
        <w:spacing w:after="100" w:afterAutospacing="1" w:line="360" w:lineRule="auto"/>
        <w:ind w:firstLine="437"/>
        <w:jc w:val="both"/>
        <w:textAlignment w:val="auto"/>
        <w:rPr>
          <w:rFonts w:ascii="Times New Roman" w:hAnsi="Times New Roman" w:cs="Times New Roman"/>
          <w:b/>
          <w:color w:val="000000"/>
          <w:kern w:val="2"/>
          <w:sz w:val="24"/>
          <w:szCs w:val="24"/>
        </w:rPr>
      </w:pPr>
      <w:r>
        <w:rPr>
          <w:rFonts w:ascii="Times New Roman" w:hAnsi="Times New Roman" w:cs="Times New Roman"/>
          <w:b/>
          <w:color w:val="000000"/>
          <w:kern w:val="2"/>
          <w:sz w:val="24"/>
          <w:szCs w:val="24"/>
        </w:rPr>
        <w:t>税率约定：设备款税率为13%，安装费为3%。</w:t>
      </w:r>
    </w:p>
    <w:p>
      <w:pPr>
        <w:keepNext w:val="0"/>
        <w:keepLines w:val="0"/>
        <w:pageBreakBefore w:val="0"/>
        <w:widowControl w:val="0"/>
        <w:tabs>
          <w:tab w:val="left" w:pos="2160"/>
        </w:tabs>
        <w:kinsoku/>
        <w:wordWrap/>
        <w:overflowPunct/>
        <w:topLinePunct w:val="0"/>
        <w:autoSpaceDE/>
        <w:autoSpaceDN/>
        <w:bidi w:val="0"/>
        <w:adjustRightInd/>
        <w:snapToGrid/>
        <w:spacing w:after="100" w:afterAutospacing="1" w:line="360" w:lineRule="auto"/>
        <w:ind w:firstLine="437"/>
        <w:jc w:val="both"/>
        <w:textAlignment w:val="auto"/>
        <w:rPr>
          <w:rFonts w:ascii="Times New Roman" w:hAnsi="Times New Roman" w:cs="Times New Roman"/>
          <w:color w:val="000000"/>
          <w:kern w:val="2"/>
          <w:sz w:val="24"/>
          <w:szCs w:val="24"/>
        </w:rPr>
      </w:pPr>
      <w:r>
        <w:rPr>
          <w:rFonts w:ascii="Times New Roman" w:hAnsi="Times New Roman" w:cs="Times New Roman"/>
          <w:b/>
          <w:color w:val="000000"/>
          <w:kern w:val="2"/>
          <w:sz w:val="24"/>
          <w:szCs w:val="24"/>
        </w:rPr>
        <w:t>注：</w:t>
      </w:r>
      <w:r>
        <w:rPr>
          <w:rFonts w:ascii="Times New Roman" w:hAnsi="Times New Roman" w:cs="Times New Roman"/>
          <w:b/>
          <w:bCs/>
          <w:color w:val="000000"/>
          <w:kern w:val="2"/>
          <w:sz w:val="24"/>
          <w:szCs w:val="24"/>
        </w:rPr>
        <w:t>以上合同金额是乙方将标的物运卸至甲方指定地点并完成安装调试，通过全部验收的全部价款，包括但不限于：</w:t>
      </w:r>
      <w:r>
        <w:rPr>
          <w:rFonts w:ascii="Times New Roman" w:hAnsi="Times New Roman" w:cs="Times New Roman"/>
          <w:b/>
          <w:color w:val="000000"/>
          <w:kern w:val="2"/>
          <w:sz w:val="24"/>
          <w:szCs w:val="24"/>
        </w:rPr>
        <w:t>税金、包装费、进口报关费、运输费、运杂费（包括标的物装车、运抵甲方工地现场后的卸车、吊装、合理放置等）、运输保险费、资料费、操作维护人员培训费、安装调试费、配合费、验收、鉴定及其他费用。</w:t>
      </w:r>
    </w:p>
    <w:p>
      <w:pPr>
        <w:keepNext w:val="0"/>
        <w:keepLines w:val="0"/>
        <w:pageBreakBefore w:val="0"/>
        <w:widowControl w:val="0"/>
        <w:kinsoku/>
        <w:wordWrap/>
        <w:overflowPunct/>
        <w:topLinePunct w:val="0"/>
        <w:autoSpaceDE/>
        <w:autoSpaceDN/>
        <w:bidi w:val="0"/>
        <w:adjustRightInd/>
        <w:snapToGrid/>
        <w:spacing w:after="100" w:afterAutospacing="1" w:line="360" w:lineRule="auto"/>
        <w:jc w:val="center"/>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设备部分</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采购标的物名称、品牌、型号、价格等</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textAlignment w:val="auto"/>
        <w:rPr>
          <w:rFonts w:ascii="Times New Roman" w:hAnsi="Times New Roman" w:cs="Times New Roman"/>
          <w:bCs/>
          <w:color w:val="000000"/>
          <w:kern w:val="2"/>
          <w:sz w:val="24"/>
          <w:szCs w:val="24"/>
        </w:rPr>
      </w:pPr>
      <w:r>
        <w:rPr>
          <w:rFonts w:ascii="Times New Roman" w:hAnsi="Times New Roman" w:cs="Times New Roman"/>
          <w:bCs/>
          <w:color w:val="000000"/>
          <w:kern w:val="2"/>
          <w:sz w:val="24"/>
          <w:szCs w:val="24"/>
        </w:rPr>
        <w:t>1、标的物名称、规格型号、品牌、数量及价格等产品基本情况详见附件一《设备清单》、附件二《技术规格书》；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bCs/>
          <w:color w:val="000000"/>
          <w:kern w:val="2"/>
          <w:sz w:val="24"/>
          <w:szCs w:val="24"/>
        </w:rPr>
      </w:pPr>
      <w:r>
        <w:rPr>
          <w:rFonts w:ascii="Times New Roman" w:hAnsi="Times New Roman" w:cs="Times New Roman"/>
          <w:bCs/>
          <w:color w:val="000000"/>
          <w:kern w:val="2"/>
          <w:sz w:val="24"/>
          <w:szCs w:val="24"/>
        </w:rPr>
        <w:t>2、</w:t>
      </w:r>
      <w:r>
        <w:rPr>
          <w:rFonts w:ascii="Times New Roman" w:hAnsi="Times New Roman" w:cs="Times New Roman"/>
          <w:color w:val="000000"/>
          <w:kern w:val="2"/>
          <w:sz w:val="24"/>
          <w:szCs w:val="24"/>
        </w:rPr>
        <w:t>标的物价款总额</w:t>
      </w:r>
      <w:r>
        <w:rPr>
          <w:rFonts w:ascii="Times New Roman" w:hAnsi="Times New Roman" w:cs="Times New Roman"/>
          <w:bCs/>
          <w:color w:val="000000"/>
          <w:kern w:val="2"/>
          <w:sz w:val="24"/>
          <w:szCs w:val="24"/>
        </w:rPr>
        <w:t>：大写</w:t>
      </w:r>
      <w:r>
        <w:rPr>
          <w:rFonts w:ascii="Times New Roman" w:hAnsi="Times New Roman" w:cs="Times New Roman"/>
          <w:bCs/>
          <w:color w:val="000000"/>
          <w:kern w:val="2"/>
          <w:sz w:val="24"/>
          <w:szCs w:val="24"/>
          <w:u w:val="single"/>
        </w:rPr>
        <w:t xml:space="preserve">                   </w:t>
      </w:r>
      <w:r>
        <w:rPr>
          <w:rFonts w:ascii="Times New Roman" w:hAnsi="Times New Roman" w:cs="Times New Roman"/>
          <w:color w:val="000000"/>
          <w:kern w:val="2"/>
          <w:sz w:val="24"/>
          <w:szCs w:val="24"/>
        </w:rPr>
        <w:t>（小写￥</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二、交货时间、方式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bCs/>
          <w:color w:val="000000"/>
          <w:kern w:val="2"/>
          <w:sz w:val="24"/>
          <w:szCs w:val="24"/>
        </w:rPr>
      </w:pPr>
      <w:r>
        <w:rPr>
          <w:rFonts w:ascii="Times New Roman" w:hAnsi="Times New Roman" w:cs="Times New Roman"/>
          <w:bCs/>
          <w:color w:val="000000"/>
          <w:kern w:val="2"/>
          <w:sz w:val="24"/>
          <w:szCs w:val="24"/>
        </w:rPr>
        <w:t>合同正式生效后,乙方以接甲方</w:t>
      </w:r>
      <w:r>
        <w:rPr>
          <w:rFonts w:ascii="Times New Roman" w:hAnsi="Times New Roman" w:cs="Times New Roman"/>
          <w:color w:val="000000"/>
          <w:kern w:val="2"/>
          <w:sz w:val="24"/>
          <w:szCs w:val="24"/>
        </w:rPr>
        <w:t>通知当日为始，</w:t>
      </w:r>
      <w:r>
        <w:rPr>
          <w:rFonts w:ascii="Times New Roman" w:hAnsi="Times New Roman" w:cs="Times New Roman"/>
          <w:color w:val="000000"/>
          <w:kern w:val="2"/>
          <w:sz w:val="24"/>
          <w:szCs w:val="24"/>
          <w:u w:val="single"/>
        </w:rPr>
        <w:t>5</w:t>
      </w:r>
      <w:r>
        <w:rPr>
          <w:rFonts w:ascii="Times New Roman" w:hAnsi="Times New Roman" w:cs="Times New Roman"/>
          <w:color w:val="000000"/>
          <w:kern w:val="2"/>
          <w:sz w:val="24"/>
          <w:szCs w:val="24"/>
        </w:rPr>
        <w:t>天内将标的物运卸至甲方指定地点，且乙方应在货到前3天，通知甲方具体到货日期，以便甲方组织接收、验收。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三、交货地点、运输方式及费用承担</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乙方负责将本合同约定的标的物及备品备件运卸至甲方指定的地点，并整齐安全地放置好。运输装卸费用由乙方承担。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四、包装标准</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textAlignment w:val="auto"/>
        <w:rPr>
          <w:rFonts w:ascii="Times New Roman" w:hAnsi="Times New Roman" w:cs="Times New Roman"/>
          <w:color w:val="000000"/>
          <w:kern w:val="2"/>
          <w:sz w:val="24"/>
          <w:szCs w:val="24"/>
          <w:u w:val="single"/>
        </w:rPr>
      </w:pPr>
      <w:r>
        <w:rPr>
          <w:rFonts w:ascii="Times New Roman" w:hAnsi="Times New Roman" w:cs="Times New Roman"/>
          <w:color w:val="000000"/>
          <w:kern w:val="2"/>
          <w:sz w:val="24"/>
          <w:szCs w:val="24"/>
        </w:rPr>
        <w:t>乙方标的物出厂包装标准包装，防漏、防潮、防震、能满足长途运输、足以保障标的物安全之需要。包装物不计价、不回收。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ascii="Times New Roman" w:hAnsi="Times New Roman" w:cs="Times New Roman"/>
          <w:b/>
          <w:color w:val="000000"/>
          <w:kern w:val="2"/>
          <w:sz w:val="24"/>
          <w:szCs w:val="24"/>
        </w:rPr>
      </w:pPr>
      <w:bookmarkStart w:id="986" w:name="_Toc138066545"/>
      <w:bookmarkStart w:id="987" w:name="_Toc116828767"/>
      <w:r>
        <w:rPr>
          <w:rFonts w:ascii="Times New Roman" w:hAnsi="Times New Roman" w:cs="Times New Roman"/>
          <w:b/>
          <w:color w:val="000000"/>
          <w:kern w:val="2"/>
          <w:sz w:val="24"/>
          <w:szCs w:val="24"/>
        </w:rPr>
        <w:t>五、装运标志</w:t>
      </w:r>
      <w:bookmarkEnd w:id="986"/>
      <w:bookmarkEnd w:id="98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乙方应在包装箱上，醒目做出标记：</w:t>
      </w:r>
      <w:r>
        <w:rPr>
          <w:rFonts w:hint="eastAsia"/>
          <w:color w:val="000000"/>
          <w:kern w:val="2"/>
          <w:sz w:val="24"/>
          <w:szCs w:val="24"/>
        </w:rPr>
        <w:t>⑴</w:t>
      </w:r>
      <w:r>
        <w:rPr>
          <w:rFonts w:ascii="Times New Roman" w:hAnsi="Times New Roman" w:cs="Times New Roman"/>
          <w:color w:val="000000"/>
          <w:kern w:val="2"/>
          <w:sz w:val="24"/>
          <w:szCs w:val="24"/>
        </w:rPr>
        <w:t>收货人；</w:t>
      </w:r>
      <w:r>
        <w:rPr>
          <w:rFonts w:hint="eastAsia"/>
          <w:color w:val="000000"/>
          <w:kern w:val="2"/>
          <w:sz w:val="24"/>
          <w:szCs w:val="24"/>
        </w:rPr>
        <w:t>⑵</w:t>
      </w:r>
      <w:r>
        <w:rPr>
          <w:rFonts w:ascii="Times New Roman" w:hAnsi="Times New Roman" w:cs="Times New Roman"/>
          <w:color w:val="000000"/>
          <w:kern w:val="2"/>
          <w:sz w:val="24"/>
          <w:szCs w:val="24"/>
        </w:rPr>
        <w:t>合同号；</w:t>
      </w:r>
      <w:r>
        <w:rPr>
          <w:rFonts w:hint="eastAsia"/>
          <w:color w:val="000000"/>
          <w:kern w:val="2"/>
          <w:sz w:val="24"/>
          <w:szCs w:val="24"/>
        </w:rPr>
        <w:t>⑶</w:t>
      </w:r>
      <w:r>
        <w:rPr>
          <w:rFonts w:ascii="Times New Roman" w:hAnsi="Times New Roman" w:cs="Times New Roman"/>
          <w:color w:val="000000"/>
          <w:kern w:val="2"/>
          <w:sz w:val="24"/>
          <w:szCs w:val="24"/>
        </w:rPr>
        <w:t>装运标志；</w:t>
      </w:r>
      <w:r>
        <w:rPr>
          <w:rFonts w:hint="eastAsia"/>
          <w:color w:val="000000"/>
          <w:kern w:val="2"/>
          <w:sz w:val="24"/>
          <w:szCs w:val="24"/>
        </w:rPr>
        <w:t>⑷</w:t>
      </w:r>
      <w:r>
        <w:rPr>
          <w:rFonts w:ascii="Times New Roman" w:hAnsi="Times New Roman" w:cs="Times New Roman"/>
          <w:color w:val="000000"/>
          <w:kern w:val="2"/>
          <w:sz w:val="24"/>
          <w:szCs w:val="24"/>
        </w:rPr>
        <w:t>目的地；(5)货物名称、品目号和箱号；(6)毛重/净重；(7)尺寸（长×宽×高，以厘米计）。根据实际情况进行调整。</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jc w:val="both"/>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六、标的物的质量标准及验收方法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bookmarkStart w:id="988" w:name="_Toc116828810"/>
      <w:r>
        <w:rPr>
          <w:rFonts w:ascii="Times New Roman" w:hAnsi="Times New Roman" w:cs="Times New Roman"/>
          <w:color w:val="000000"/>
          <w:kern w:val="2"/>
          <w:sz w:val="24"/>
          <w:szCs w:val="24"/>
        </w:rPr>
        <w:t>1、标的物质量标准：按照《设备清单》、《技术规格书》要求，执行最新国家及行业标准、国家和地方行政主管部门的有关规定。没有国家和行业标准以及国家和地方行政主管部门的有关规定，按照通常标准或者符合合同目的的特定标准履行并符合甲方的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sz w:val="24"/>
          <w:szCs w:val="24"/>
        </w:rPr>
      </w:pPr>
      <w:r>
        <w:rPr>
          <w:rFonts w:ascii="Times New Roman" w:hAnsi="Times New Roman" w:cs="Times New Roman"/>
          <w:color w:val="000000"/>
          <w:kern w:val="2"/>
          <w:sz w:val="24"/>
          <w:szCs w:val="24"/>
        </w:rPr>
        <w:t>2、乙方保证所提供的本合同标的物必须符合本合同约定的质量标准，</w:t>
      </w:r>
      <w:r>
        <w:rPr>
          <w:rFonts w:ascii="Times New Roman" w:hAnsi="Times New Roman" w:cs="Times New Roman"/>
          <w:color w:val="000000"/>
          <w:sz w:val="24"/>
          <w:szCs w:val="24"/>
        </w:rPr>
        <w:t>达到标的物各项性能指标和参数。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hint="eastAsia"/>
          <w:color w:val="000000"/>
          <w:kern w:val="2"/>
          <w:sz w:val="24"/>
          <w:szCs w:val="24"/>
        </w:rPr>
        <w:t>⑴</w:t>
      </w:r>
      <w:r>
        <w:rPr>
          <w:rFonts w:ascii="Times New Roman" w:hAnsi="Times New Roman" w:cs="Times New Roman"/>
          <w:color w:val="000000"/>
          <w:sz w:val="24"/>
          <w:szCs w:val="24"/>
        </w:rPr>
        <w:t>保证其销售的标的物不存在有造成甲方或任何第三人人身财产损害的现实或潜在的危险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sz w:val="24"/>
          <w:szCs w:val="24"/>
        </w:rPr>
      </w:pPr>
      <w:r>
        <w:rPr>
          <w:rFonts w:hint="eastAsia"/>
          <w:color w:val="000000"/>
          <w:sz w:val="24"/>
          <w:szCs w:val="24"/>
        </w:rPr>
        <w:t>⑵</w:t>
      </w:r>
      <w:r>
        <w:rPr>
          <w:rFonts w:ascii="Times New Roman" w:hAnsi="Times New Roman" w:cs="Times New Roman"/>
          <w:color w:val="000000"/>
          <w:kern w:val="2"/>
          <w:sz w:val="24"/>
          <w:szCs w:val="24"/>
        </w:rPr>
        <w:t>保证</w:t>
      </w:r>
      <w:r>
        <w:rPr>
          <w:rFonts w:ascii="Times New Roman" w:hAnsi="Times New Roman" w:cs="Times New Roman"/>
          <w:color w:val="000000"/>
          <w:sz w:val="24"/>
          <w:szCs w:val="24"/>
        </w:rPr>
        <w:t>其销售的标的物不存在任何权利上的瑕疵；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sz w:val="24"/>
          <w:szCs w:val="24"/>
        </w:rPr>
      </w:pPr>
      <w:r>
        <w:rPr>
          <w:rFonts w:hint="eastAsia"/>
          <w:color w:val="000000"/>
          <w:sz w:val="24"/>
          <w:szCs w:val="24"/>
        </w:rPr>
        <w:t>⑶</w:t>
      </w:r>
      <w:r>
        <w:rPr>
          <w:rFonts w:ascii="Times New Roman" w:hAnsi="Times New Roman" w:cs="Times New Roman"/>
          <w:color w:val="000000"/>
          <w:kern w:val="2"/>
          <w:sz w:val="24"/>
          <w:szCs w:val="24"/>
        </w:rPr>
        <w:t>保证</w:t>
      </w:r>
      <w:r>
        <w:rPr>
          <w:rFonts w:ascii="Times New Roman" w:hAnsi="Times New Roman" w:cs="Times New Roman"/>
          <w:color w:val="000000"/>
          <w:sz w:val="24"/>
          <w:szCs w:val="24"/>
        </w:rPr>
        <w:t>其销售的货物完整无损，是全新的、未使用过的，是原装原厂的。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sz w:val="24"/>
          <w:szCs w:val="24"/>
        </w:rPr>
      </w:pPr>
      <w:r>
        <w:rPr>
          <w:rFonts w:ascii="Times New Roman" w:hAnsi="Times New Roman" w:cs="Times New Roman"/>
          <w:color w:val="000000"/>
          <w:kern w:val="2"/>
          <w:sz w:val="24"/>
          <w:szCs w:val="24"/>
        </w:rPr>
        <w:t>3、标的物运抵甲方指定的地点后，甲方、乙方及其他相关方共同派员检验，若检验时发现数量、外观有缺损或规格型号等不符合本合同之约定，</w:t>
      </w:r>
      <w:r>
        <w:rPr>
          <w:rFonts w:ascii="Times New Roman" w:hAnsi="Times New Roman" w:cs="Times New Roman"/>
          <w:color w:val="000000"/>
          <w:sz w:val="24"/>
          <w:szCs w:val="24"/>
        </w:rPr>
        <w:t>乙方应在甲方提出书面异议后</w:t>
      </w:r>
      <w:r>
        <w:rPr>
          <w:rFonts w:ascii="Times New Roman" w:hAnsi="Times New Roman" w:cs="Times New Roman"/>
          <w:color w:val="000000"/>
          <w:sz w:val="24"/>
          <w:szCs w:val="24"/>
          <w:u w:val="single"/>
        </w:rPr>
        <w:t xml:space="preserve"> 7</w:t>
      </w:r>
      <w:r>
        <w:rPr>
          <w:rFonts w:ascii="Times New Roman" w:hAnsi="Times New Roman" w:cs="Times New Roman"/>
          <w:color w:val="000000"/>
          <w:sz w:val="24"/>
          <w:szCs w:val="24"/>
        </w:rPr>
        <w:t>日内补足或更换，直至符合本合同及附件的约定；由此造成延期交货或安装工期延误的，按本合同有关规定处理</w:t>
      </w:r>
      <w:r>
        <w:rPr>
          <w:rFonts w:ascii="Times New Roman" w:hAnsi="Times New Roman" w:cs="Times New Roman"/>
          <w:color w:val="000000"/>
          <w:kern w:val="2"/>
          <w:sz w:val="24"/>
          <w:szCs w:val="24"/>
        </w:rPr>
        <w:t>；超出约定数量的，甲方有权拒收。若标的物质量不符合合同要求，无论该标的物是否已被甲方接收，甲方都有权根据合同对乙方的标的物进行修理、退货。</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75" w:firstLineChars="198"/>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 xml:space="preserve">4、乙方须同时提供壹份标的物合格证书、标的物说明书等相关资料。 </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75" w:firstLineChars="198"/>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5、在安装、调试、验收过程中，如发现有漏项、缺件，乙方应无条件、无偿补齐；如发现标的物质量存在问题，乙方应负责修理、更换。因此所发生的一切费用，均已包含在合同总价中，且乙方不能因此影响交付与使用时间。</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75" w:firstLineChars="198"/>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6、标的物的各项参数与性能（功能）均应符合《技术规格书》要求。</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both"/>
        <w:textAlignment w:val="auto"/>
        <w:outlineLvl w:val="1"/>
        <w:rPr>
          <w:rFonts w:ascii="Times New Roman" w:hAnsi="Times New Roman" w:cs="Times New Roman"/>
          <w:color w:val="000000"/>
          <w:kern w:val="2"/>
          <w:sz w:val="24"/>
          <w:szCs w:val="24"/>
        </w:rPr>
      </w:pPr>
      <w:bookmarkStart w:id="989" w:name="_Toc138066546"/>
      <w:r>
        <w:rPr>
          <w:rFonts w:ascii="Times New Roman" w:hAnsi="Times New Roman" w:cs="Times New Roman"/>
          <w:color w:val="000000"/>
          <w:kern w:val="2"/>
          <w:sz w:val="24"/>
          <w:szCs w:val="24"/>
        </w:rPr>
        <w:t>7、产品的质保期为12个月，自安装竣工并验收合格甲方签字确认时算起。</w:t>
      </w:r>
      <w:bookmarkEnd w:id="98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Times New Roman" w:hAnsi="Times New Roman" w:cs="Times New Roman"/>
          <w:b/>
          <w:bCs/>
          <w:color w:val="000000"/>
          <w:kern w:val="2"/>
          <w:sz w:val="24"/>
          <w:szCs w:val="24"/>
        </w:rPr>
      </w:pPr>
      <w:bookmarkStart w:id="990" w:name="_Toc138066547"/>
      <w:r>
        <w:rPr>
          <w:rFonts w:ascii="Times New Roman" w:hAnsi="Times New Roman" w:cs="Times New Roman"/>
          <w:b/>
          <w:bCs/>
          <w:color w:val="000000"/>
          <w:kern w:val="2"/>
          <w:sz w:val="24"/>
          <w:szCs w:val="24"/>
        </w:rPr>
        <w:t>安装部分</w:t>
      </w:r>
      <w:bookmarkEnd w:id="990"/>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ascii="Times New Roman" w:hAnsi="Times New Roman" w:cs="Times New Roman"/>
          <w:b/>
          <w:bCs/>
          <w:color w:val="000000"/>
          <w:kern w:val="2"/>
          <w:sz w:val="24"/>
          <w:szCs w:val="24"/>
        </w:rPr>
      </w:pPr>
      <w:bookmarkStart w:id="991" w:name="_Toc138066548"/>
      <w:r>
        <w:rPr>
          <w:rFonts w:ascii="Times New Roman" w:hAnsi="Times New Roman" w:cs="Times New Roman"/>
          <w:b/>
          <w:bCs/>
          <w:color w:val="000000"/>
          <w:kern w:val="2"/>
          <w:sz w:val="24"/>
          <w:szCs w:val="24"/>
        </w:rPr>
        <w:t>七、安装工程概况</w:t>
      </w:r>
      <w:bookmarkEnd w:id="99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ascii="Times New Roman" w:hAnsi="Times New Roman" w:cs="Times New Roman"/>
          <w:color w:val="000000"/>
          <w:kern w:val="2"/>
          <w:sz w:val="24"/>
          <w:szCs w:val="24"/>
          <w:u w:val="single"/>
        </w:rPr>
      </w:pPr>
      <w:bookmarkStart w:id="992" w:name="_Toc138066549"/>
      <w:r>
        <w:rPr>
          <w:rFonts w:ascii="Times New Roman" w:hAnsi="Times New Roman" w:cs="Times New Roman"/>
          <w:color w:val="000000"/>
          <w:kern w:val="2"/>
          <w:sz w:val="24"/>
          <w:szCs w:val="24"/>
        </w:rPr>
        <w:t>1、安装工程名称：</w:t>
      </w:r>
      <w:bookmarkEnd w:id="992"/>
      <w:r>
        <w:rPr>
          <w:rFonts w:ascii="Times New Roman" w:hAnsi="Times New Roman" w:cs="Times New Roman"/>
          <w:color w:val="000000"/>
          <w:kern w:val="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ascii="Times New Roman" w:hAnsi="Times New Roman" w:cs="Times New Roman"/>
          <w:color w:val="000000"/>
          <w:kern w:val="2"/>
          <w:sz w:val="24"/>
          <w:szCs w:val="24"/>
          <w:u w:val="single"/>
        </w:rPr>
      </w:pPr>
      <w:bookmarkStart w:id="993" w:name="_Toc138066550"/>
      <w:r>
        <w:rPr>
          <w:rFonts w:ascii="Times New Roman" w:hAnsi="Times New Roman" w:cs="Times New Roman"/>
          <w:color w:val="000000"/>
          <w:kern w:val="2"/>
          <w:sz w:val="24"/>
          <w:szCs w:val="24"/>
        </w:rPr>
        <w:t>2、安装工程地点：</w:t>
      </w:r>
      <w:bookmarkEnd w:id="993"/>
      <w:r>
        <w:rPr>
          <w:rFonts w:ascii="Times New Roman" w:hAnsi="Times New Roman" w:cs="Times New Roman"/>
          <w:color w:val="000000"/>
          <w:kern w:val="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ascii="Times New Roman" w:hAnsi="Times New Roman" w:cs="Times New Roman"/>
          <w:b/>
          <w:bCs/>
          <w:color w:val="000000"/>
          <w:kern w:val="2"/>
          <w:sz w:val="24"/>
          <w:szCs w:val="24"/>
          <w:u w:val="single"/>
        </w:rPr>
      </w:pPr>
      <w:bookmarkStart w:id="994" w:name="_Toc138066551"/>
      <w:r>
        <w:rPr>
          <w:rFonts w:ascii="Times New Roman" w:hAnsi="Times New Roman" w:cs="Times New Roman"/>
          <w:color w:val="000000"/>
          <w:kern w:val="2"/>
          <w:sz w:val="24"/>
          <w:szCs w:val="24"/>
        </w:rPr>
        <w:t>3、安装工程内容：</w:t>
      </w:r>
      <w:bookmarkEnd w:id="994"/>
      <w:r>
        <w:rPr>
          <w:rFonts w:ascii="Times New Roman" w:hAnsi="Times New Roman" w:cs="Times New Roman"/>
          <w:color w:val="000000"/>
          <w:kern w:val="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ascii="Times New Roman" w:hAnsi="Times New Roman" w:cs="Times New Roman"/>
          <w:b/>
          <w:bCs/>
          <w:color w:val="000000"/>
          <w:kern w:val="2"/>
          <w:sz w:val="24"/>
          <w:szCs w:val="24"/>
        </w:rPr>
      </w:pPr>
      <w:bookmarkStart w:id="995" w:name="_Toc138066552"/>
      <w:r>
        <w:rPr>
          <w:rFonts w:ascii="Times New Roman" w:hAnsi="Times New Roman" w:cs="Times New Roman"/>
          <w:b/>
          <w:bCs/>
          <w:color w:val="000000"/>
          <w:kern w:val="2"/>
          <w:sz w:val="24"/>
          <w:szCs w:val="24"/>
        </w:rPr>
        <w:t>八、安装工期、施工方式和范围</w:t>
      </w:r>
      <w:bookmarkEnd w:id="995"/>
    </w:p>
    <w:p>
      <w:pPr>
        <w:keepNext w:val="0"/>
        <w:keepLines w:val="0"/>
        <w:pageBreakBefore w:val="0"/>
        <w:widowControl w:val="0"/>
        <w:kinsoku/>
        <w:wordWrap/>
        <w:overflowPunct/>
        <w:topLinePunct w:val="0"/>
        <w:autoSpaceDE/>
        <w:autoSpaceDN/>
        <w:bidi w:val="0"/>
        <w:adjustRightInd/>
        <w:snapToGrid/>
        <w:spacing w:line="360" w:lineRule="auto"/>
        <w:ind w:firstLine="435"/>
        <w:jc w:val="both"/>
        <w:textAlignment w:val="auto"/>
        <w:outlineLvl w:val="1"/>
        <w:rPr>
          <w:rFonts w:ascii="Times New Roman" w:hAnsi="Times New Roman" w:cs="Times New Roman"/>
          <w:color w:val="000000"/>
          <w:kern w:val="2"/>
          <w:sz w:val="24"/>
          <w:szCs w:val="24"/>
        </w:rPr>
      </w:pPr>
      <w:bookmarkStart w:id="996" w:name="_Toc138066553"/>
      <w:r>
        <w:rPr>
          <w:rFonts w:ascii="Times New Roman" w:hAnsi="Times New Roman" w:cs="Times New Roman"/>
          <w:b/>
          <w:bCs/>
          <w:color w:val="000000"/>
          <w:kern w:val="2"/>
          <w:sz w:val="24"/>
          <w:szCs w:val="24"/>
        </w:rPr>
        <w:t>安装工期：</w:t>
      </w:r>
      <w:r>
        <w:rPr>
          <w:rFonts w:ascii="Times New Roman" w:hAnsi="Times New Roman" w:cs="Times New Roman"/>
          <w:color w:val="000000"/>
          <w:kern w:val="2"/>
          <w:sz w:val="24"/>
          <w:szCs w:val="24"/>
        </w:rPr>
        <w:t>自标的物交付甲方之日起</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个日历天内安装完毕，第</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天准时向甲方交付使用。上述工期已综合考虑并包括了节假日、夏冬雨季施工等因素。</w:t>
      </w:r>
      <w:bookmarkEnd w:id="996"/>
    </w:p>
    <w:p>
      <w:pPr>
        <w:keepNext w:val="0"/>
        <w:keepLines w:val="0"/>
        <w:pageBreakBefore w:val="0"/>
        <w:widowControl w:val="0"/>
        <w:kinsoku/>
        <w:wordWrap/>
        <w:overflowPunct/>
        <w:topLinePunct w:val="0"/>
        <w:autoSpaceDE/>
        <w:autoSpaceDN/>
        <w:bidi w:val="0"/>
        <w:adjustRightInd/>
        <w:snapToGrid/>
        <w:spacing w:line="360" w:lineRule="auto"/>
        <w:ind w:firstLine="435"/>
        <w:jc w:val="both"/>
        <w:textAlignment w:val="auto"/>
        <w:outlineLvl w:val="1"/>
        <w:rPr>
          <w:rFonts w:ascii="Times New Roman" w:hAnsi="Times New Roman" w:cs="Times New Roman"/>
          <w:b/>
          <w:bCs/>
          <w:color w:val="000000"/>
          <w:kern w:val="2"/>
          <w:sz w:val="24"/>
          <w:szCs w:val="24"/>
        </w:rPr>
      </w:pPr>
      <w:bookmarkStart w:id="997" w:name="_Toc138066554"/>
      <w:r>
        <w:rPr>
          <w:rFonts w:ascii="Times New Roman" w:hAnsi="Times New Roman" w:cs="Times New Roman"/>
          <w:b/>
          <w:bCs/>
          <w:color w:val="000000"/>
          <w:kern w:val="2"/>
          <w:sz w:val="24"/>
          <w:szCs w:val="24"/>
        </w:rPr>
        <w:t>施工方式：</w:t>
      </w:r>
      <w:r>
        <w:rPr>
          <w:rFonts w:ascii="Times New Roman" w:hAnsi="Times New Roman" w:cs="Times New Roman"/>
          <w:color w:val="000000"/>
          <w:kern w:val="2"/>
          <w:sz w:val="24"/>
          <w:szCs w:val="24"/>
        </w:rPr>
        <w:t>本工程为交钥匙工程，乙方包工包料为甲方整体工程施工完毕，经验收合格为标准。</w:t>
      </w:r>
      <w:bookmarkEnd w:id="997"/>
    </w:p>
    <w:p>
      <w:pPr>
        <w:keepNext w:val="0"/>
        <w:keepLines w:val="0"/>
        <w:pageBreakBefore w:val="0"/>
        <w:widowControl w:val="0"/>
        <w:kinsoku/>
        <w:wordWrap/>
        <w:overflowPunct/>
        <w:topLinePunct w:val="0"/>
        <w:autoSpaceDE/>
        <w:autoSpaceDN/>
        <w:bidi w:val="0"/>
        <w:adjustRightInd/>
        <w:snapToGrid/>
        <w:spacing w:line="360" w:lineRule="auto"/>
        <w:ind w:firstLine="435"/>
        <w:jc w:val="both"/>
        <w:textAlignment w:val="auto"/>
        <w:outlineLvl w:val="1"/>
        <w:rPr>
          <w:rFonts w:ascii="Times New Roman" w:hAnsi="Times New Roman" w:cs="Times New Roman"/>
          <w:b/>
          <w:bCs/>
          <w:color w:val="000000"/>
          <w:kern w:val="2"/>
          <w:sz w:val="24"/>
          <w:szCs w:val="24"/>
          <w:u w:val="single"/>
        </w:rPr>
      </w:pPr>
      <w:bookmarkStart w:id="998" w:name="_Toc138066555"/>
      <w:r>
        <w:rPr>
          <w:rFonts w:ascii="Times New Roman" w:hAnsi="Times New Roman" w:cs="Times New Roman"/>
          <w:b/>
          <w:bCs/>
          <w:color w:val="000000"/>
          <w:kern w:val="2"/>
          <w:sz w:val="24"/>
          <w:szCs w:val="24"/>
        </w:rPr>
        <w:t>工程范围：</w:t>
      </w:r>
      <w:r>
        <w:rPr>
          <w:rFonts w:ascii="Times New Roman" w:hAnsi="Times New Roman" w:cs="Times New Roman"/>
          <w:color w:val="000000"/>
          <w:kern w:val="2"/>
          <w:sz w:val="24"/>
          <w:szCs w:val="24"/>
        </w:rPr>
        <w:t>按甲方《技术规格书》等技术要求和设计变更内容要求进行施工（交锁匙工程，工程量不准和预算漏项的均为施工方负责）。</w:t>
      </w:r>
      <w:bookmarkEnd w:id="998"/>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九、安装标准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ascii="Times New Roman" w:hAnsi="Times New Roman" w:cs="Times New Roman"/>
          <w:bCs/>
          <w:color w:val="000000"/>
          <w:kern w:val="2"/>
          <w:sz w:val="24"/>
          <w:szCs w:val="24"/>
        </w:rPr>
      </w:pPr>
      <w:r>
        <w:rPr>
          <w:rFonts w:ascii="Times New Roman" w:hAnsi="Times New Roman" w:cs="Times New Roman"/>
          <w:b/>
          <w:color w:val="000000"/>
          <w:kern w:val="2"/>
          <w:sz w:val="24"/>
          <w:szCs w:val="24"/>
        </w:rPr>
        <w:t xml:space="preserve">    </w:t>
      </w:r>
      <w:bookmarkStart w:id="999" w:name="_Toc138066556"/>
      <w:r>
        <w:rPr>
          <w:rFonts w:ascii="Times New Roman" w:hAnsi="Times New Roman" w:cs="Times New Roman"/>
          <w:bCs/>
          <w:color w:val="000000"/>
          <w:kern w:val="2"/>
          <w:sz w:val="24"/>
          <w:szCs w:val="24"/>
        </w:rPr>
        <w:t>符合甲方《技术规格书》等技术要求和设计变更内容要求。</w:t>
      </w:r>
      <w:bookmarkEnd w:id="999"/>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ascii="Times New Roman" w:hAnsi="Times New Roman" w:cs="Times New Roman"/>
          <w:b/>
          <w:color w:val="000000"/>
          <w:kern w:val="2"/>
          <w:sz w:val="24"/>
          <w:szCs w:val="24"/>
        </w:rPr>
      </w:pPr>
      <w:bookmarkStart w:id="1000" w:name="_Toc138066557"/>
      <w:r>
        <w:rPr>
          <w:rFonts w:ascii="Times New Roman" w:hAnsi="Times New Roman" w:cs="Times New Roman"/>
          <w:b/>
          <w:color w:val="000000"/>
          <w:kern w:val="2"/>
          <w:sz w:val="24"/>
          <w:szCs w:val="24"/>
        </w:rPr>
        <w:t>十、本合同安装部分的工程价款</w:t>
      </w:r>
      <w:bookmarkEnd w:id="1000"/>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ascii="Times New Roman" w:hAnsi="Times New Roman" w:cs="Times New Roman"/>
          <w:color w:val="000000"/>
          <w:kern w:val="2"/>
          <w:sz w:val="24"/>
          <w:szCs w:val="24"/>
        </w:rPr>
      </w:pPr>
      <w:r>
        <w:rPr>
          <w:rFonts w:ascii="Times New Roman" w:hAnsi="Times New Roman" w:cs="Times New Roman"/>
          <w:b/>
          <w:color w:val="000000"/>
          <w:kern w:val="2"/>
          <w:sz w:val="24"/>
          <w:szCs w:val="24"/>
        </w:rPr>
        <w:t xml:space="preserve">    </w:t>
      </w:r>
      <w:bookmarkStart w:id="1001" w:name="_Toc138066558"/>
      <w:r>
        <w:rPr>
          <w:rFonts w:ascii="Times New Roman" w:hAnsi="Times New Roman" w:cs="Times New Roman"/>
          <w:color w:val="000000"/>
          <w:kern w:val="2"/>
          <w:sz w:val="24"/>
          <w:szCs w:val="24"/>
        </w:rPr>
        <w:t>安装价款总额</w:t>
      </w:r>
      <w:r>
        <w:rPr>
          <w:rFonts w:ascii="Times New Roman" w:hAnsi="Times New Roman" w:cs="Times New Roman"/>
          <w:bCs/>
          <w:color w:val="000000"/>
          <w:kern w:val="2"/>
          <w:sz w:val="24"/>
          <w:szCs w:val="24"/>
        </w:rPr>
        <w:t>：大写</w:t>
      </w:r>
      <w:r>
        <w:rPr>
          <w:rFonts w:ascii="Times New Roman" w:hAnsi="Times New Roman" w:cs="Times New Roman"/>
          <w:bCs/>
          <w:color w:val="000000"/>
          <w:kern w:val="2"/>
          <w:sz w:val="24"/>
          <w:szCs w:val="24"/>
          <w:u w:val="single"/>
        </w:rPr>
        <w:t xml:space="preserve">                   </w:t>
      </w:r>
      <w:r>
        <w:rPr>
          <w:rFonts w:ascii="Times New Roman" w:hAnsi="Times New Roman" w:cs="Times New Roman"/>
          <w:color w:val="000000"/>
          <w:kern w:val="2"/>
          <w:sz w:val="24"/>
          <w:szCs w:val="24"/>
        </w:rPr>
        <w:t>（小写￥</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w:t>
      </w:r>
      <w:bookmarkEnd w:id="1001"/>
      <w:r>
        <w:rPr>
          <w:rFonts w:ascii="Times New Roman" w:hAnsi="Times New Roman" w:cs="Times New Roman"/>
          <w:color w:val="000000"/>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ascii="Times New Roman" w:hAnsi="Times New Roman" w:cs="Times New Roman"/>
          <w:b/>
          <w:color w:val="000000"/>
          <w:kern w:val="2"/>
          <w:sz w:val="24"/>
          <w:szCs w:val="24"/>
        </w:rPr>
      </w:pPr>
      <w:bookmarkStart w:id="1002" w:name="_Toc138066559"/>
      <w:r>
        <w:rPr>
          <w:rFonts w:ascii="Times New Roman" w:hAnsi="Times New Roman" w:cs="Times New Roman"/>
          <w:color w:val="000000"/>
          <w:kern w:val="2"/>
          <w:sz w:val="24"/>
          <w:szCs w:val="24"/>
        </w:rPr>
        <w:t>本条约定的价款包括但不限于：冬雨季施工人工降效窝工费用、施工中必须的安全防护用工费用、文明责任区(施工区、生活区、)的清理打扫卫生用工、材料二次倒运用工费用、及其他一切可能发生的直到正式交付甲方使用时的所有费用</w:t>
      </w:r>
      <w:r>
        <w:rPr>
          <w:rFonts w:ascii="Times New Roman" w:hAnsi="Times New Roman" w:cs="Times New Roman"/>
          <w:bCs/>
          <w:color w:val="000000"/>
          <w:kern w:val="2"/>
          <w:sz w:val="24"/>
          <w:szCs w:val="24"/>
        </w:rPr>
        <w:t>。</w:t>
      </w:r>
      <w:bookmarkEnd w:id="1002"/>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ascii="Times New Roman" w:hAnsi="Times New Roman" w:cs="Times New Roman"/>
          <w:b/>
          <w:color w:val="000000"/>
          <w:kern w:val="2"/>
          <w:sz w:val="24"/>
          <w:szCs w:val="24"/>
        </w:rPr>
      </w:pPr>
      <w:bookmarkStart w:id="1003" w:name="_Toc138066560"/>
      <w:r>
        <w:rPr>
          <w:rFonts w:ascii="Times New Roman" w:hAnsi="Times New Roman" w:cs="Times New Roman"/>
          <w:b/>
          <w:color w:val="000000"/>
          <w:kern w:val="2"/>
          <w:sz w:val="24"/>
          <w:szCs w:val="24"/>
        </w:rPr>
        <w:t>十一、安装、调试</w:t>
      </w:r>
      <w:bookmarkEnd w:id="988"/>
      <w:bookmarkEnd w:id="100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安装既可以由乙方自己完成，也可以由乙方委托的其他单位完成，但安装单位必须具备有关行业管理部门安装资质认定证书和在最终使用地地区施工许可证。在安装前，乙方须免费提供一套完整的施工方案和施工人员资质资料给甲方确认。乙方委托其他单位安装的，安装单位的一切行为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2、安装调试人员对本次采购所定品牌、型号设备安装，必须是经过专门培训、考核，取得合格证书和上岗证经验丰富的人员，并有相应的质量保证体系。如发现安装调试人员不合格，乙方应无条件的予以调换。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3、安装所需工具、机具、起重设备、材料及临时设施，由乙方解决。与安装有关的设备保管、设备吊装就位、安全、保险等亦由乙方负责。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除本合同商定的条款外，任何安装问题、相关责任及费用均与甲方无关。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4、安装现场的一切安全保护由乙方或乙方指定的安装单位负责。乙方在安装过程中，应配合甲方以及现场监理的安排。</w:t>
      </w:r>
    </w:p>
    <w:p>
      <w:pPr>
        <w:keepNext w:val="0"/>
        <w:keepLines w:val="0"/>
        <w:pageBreakBefore w:val="0"/>
        <w:widowControl w:val="0"/>
        <w:kinsoku/>
        <w:wordWrap/>
        <w:overflowPunct/>
        <w:topLinePunct w:val="0"/>
        <w:autoSpaceDE/>
        <w:autoSpaceDN/>
        <w:bidi w:val="0"/>
        <w:adjustRightInd/>
        <w:snapToGrid/>
        <w:spacing w:line="360" w:lineRule="auto"/>
        <w:ind w:left="-105" w:firstLine="630"/>
        <w:jc w:val="both"/>
        <w:textAlignment w:val="auto"/>
        <w:outlineLvl w:val="1"/>
        <w:rPr>
          <w:rFonts w:ascii="Times New Roman" w:hAnsi="Times New Roman" w:cs="Times New Roman"/>
          <w:color w:val="000000"/>
          <w:kern w:val="2"/>
          <w:sz w:val="24"/>
          <w:szCs w:val="24"/>
        </w:rPr>
      </w:pPr>
      <w:bookmarkStart w:id="1004" w:name="_Toc138066561"/>
      <w:bookmarkStart w:id="1005" w:name="_Toc116828811"/>
      <w:r>
        <w:rPr>
          <w:rFonts w:ascii="Times New Roman" w:hAnsi="Times New Roman" w:cs="Times New Roman"/>
          <w:color w:val="000000"/>
          <w:kern w:val="2"/>
          <w:sz w:val="24"/>
          <w:szCs w:val="24"/>
        </w:rPr>
        <w:t>具体安装时间由甲方书面通知乙方，乙方应按甲方通知如期安装。乙方应当在指定的合理期间内完成安装调试。若乙方不能按时、按质或者按量完成安装调试，应赔偿甲方因此而受到的损失，并且甲方有权继续要求乙方完成安装或者请第三方完成安装，但费用和维保由乙方负责。</w:t>
      </w:r>
      <w:bookmarkEnd w:id="100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5、乙方应派有资格、有经验的人员及时对设备安装、调试。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6、安装系统全面科学合理有效,便于甲方实施运行与维修。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7、合同价款已综合考虑在安装、调试过程中出现的各种情况，包括乙方在履行本合同安装调试过程中的各种费用、安全保护、现场清理、成品半成品的保护、劳保费、医疗费、往返交通费用、停窝工费用、有关税费、材料费、各种工具机具设备等的使用费用等各项相关费用，结算时不再额外向甲方计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8、安装系统的隐蔽覆盖部位在进行下一工序前要经甲方乙方共同检查验收确认，若因任何一方不配合导致无法验收确认，由该方承担违约责任。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9、乙方负责施工过程中的安全文明施工相关事宜，并承担相关责任。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10、合同工期已综合考虑冬雨季施工、节假日、政策性停工等各种影响因素，乙方不应对以上或者下列情况向甲方提出增加费用或延长工期的索赔。</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ascii="Times New Roman" w:hAnsi="Times New Roman" w:cs="Times New Roman"/>
          <w:b/>
          <w:color w:val="000000"/>
          <w:kern w:val="2"/>
          <w:sz w:val="24"/>
          <w:szCs w:val="24"/>
        </w:rPr>
      </w:pPr>
      <w:bookmarkStart w:id="1006" w:name="_Toc138066562"/>
      <w:r>
        <w:rPr>
          <w:rFonts w:ascii="Times New Roman" w:hAnsi="Times New Roman" w:cs="Times New Roman"/>
          <w:b/>
          <w:color w:val="000000"/>
          <w:kern w:val="2"/>
          <w:sz w:val="24"/>
          <w:szCs w:val="24"/>
        </w:rPr>
        <w:t>十二</w:t>
      </w:r>
      <w:r>
        <w:rPr>
          <w:rFonts w:ascii="Times New Roman" w:hAnsi="Times New Roman" w:cs="Times New Roman"/>
          <w:b/>
          <w:bCs/>
          <w:color w:val="000000"/>
          <w:kern w:val="2"/>
          <w:sz w:val="24"/>
          <w:szCs w:val="24"/>
        </w:rPr>
        <w:t>、</w:t>
      </w:r>
      <w:r>
        <w:rPr>
          <w:rFonts w:ascii="Times New Roman" w:hAnsi="Times New Roman" w:cs="Times New Roman"/>
          <w:b/>
          <w:color w:val="000000"/>
          <w:kern w:val="2"/>
          <w:sz w:val="24"/>
          <w:szCs w:val="24"/>
        </w:rPr>
        <w:t>验收、交付使用</w:t>
      </w:r>
      <w:bookmarkEnd w:id="1005"/>
      <w:bookmarkEnd w:id="100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1、在安装调试工作完成，试运行</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小时后，如达到验收标准，乙方应通知甲方和有关部门进行检验。验收须严格按照有关规范要求和标准执行。</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25"/>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2、验收合格，从验收合格之日起</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天内，乙方向甲方移交完毕安装工程及其附属的、相关的详细的随机技术文件、验收报告以及其他资料，甲方、乙方及其他相关各方在安装工程竣工交接书上最终签字的日期为安装工程交付日。安装工程在交付甲方前的完整性、安全性由乙方承担，交付后由甲方承担。如甲方不能按期接管，致使验收后的标的物发生损失，应由甲方承担。乙方必须配合甲方做好有关单位的质量检查工作。</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25"/>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3、在进行验收中，如发现标的物质量不符合规定，乙方应负责无偿修理或返工，并在双方议定的措施和期限内完成。</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25"/>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4、标的物安装调试结束后未经验收，甲方提前使用或擅自动用，由此而发生的质量或其他问题，由甲方承担责任。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5、乙方应对甲方的有关人员提供关于所有设备的操作及维修的实际指导。该项指导应在标的物被接受之后立即开始。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6、乙方在未收到甲方全部合同价款总额前（质保金除外），设备产权归乙方所有。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总协议部分</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jc w:val="both"/>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十三、风险承担</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bCs/>
          <w:color w:val="000000"/>
          <w:kern w:val="2"/>
          <w:sz w:val="24"/>
          <w:szCs w:val="24"/>
        </w:rPr>
      </w:pPr>
      <w:r>
        <w:rPr>
          <w:rFonts w:ascii="Times New Roman" w:hAnsi="Times New Roman" w:cs="Times New Roman"/>
          <w:color w:val="000000"/>
          <w:sz w:val="24"/>
          <w:szCs w:val="24"/>
        </w:rPr>
        <w:t>标的物在安装、调试工程交付之前的毁损、灭失的风险由乙方承担；交付后的毁损、灭失的风险由甲方承担。安装施工过程中的材料、半成品、成品等的保护由乙方负责。</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jc w:val="both"/>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十四、结算方式及期限</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left="1136" w:leftChars="198" w:hanging="720" w:hangingChars="3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1、甲乙双</w:t>
      </w:r>
      <w:r>
        <w:rPr>
          <w:rFonts w:hint="eastAsia" w:cs="Times New Roman"/>
          <w:color w:val="000000"/>
          <w:kern w:val="2"/>
          <w:sz w:val="24"/>
          <w:szCs w:val="24"/>
          <w:lang w:val="en-US" w:eastAsia="zh-CN"/>
        </w:rPr>
        <w:t>方</w:t>
      </w:r>
      <w:r>
        <w:rPr>
          <w:rFonts w:ascii="Times New Roman" w:hAnsi="Times New Roman" w:cs="Times New Roman"/>
          <w:color w:val="000000"/>
          <w:kern w:val="2"/>
          <w:sz w:val="24"/>
          <w:szCs w:val="24"/>
        </w:rPr>
        <w:t>在签订合同后，_____日内首付合同标的物及安装费的</w:t>
      </w:r>
      <w:r>
        <w:rPr>
          <w:rFonts w:ascii="Times New Roman" w:hAnsi="Times New Roman" w:cs="Times New Roman"/>
          <w:color w:val="000000"/>
          <w:kern w:val="2"/>
          <w:sz w:val="24"/>
          <w:szCs w:val="24"/>
          <w:u w:val="single"/>
        </w:rPr>
        <w:t>30%</w:t>
      </w:r>
      <w:r>
        <w:rPr>
          <w:rFonts w:ascii="Times New Roman" w:hAnsi="Times New Roman" w:cs="Times New Roman"/>
          <w:color w:val="000000"/>
          <w:kern w:val="2"/>
          <w:sz w:val="24"/>
          <w:szCs w:val="24"/>
        </w:rPr>
        <w:t>订金，共计</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万元，其中货款为</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万元，安装费为</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万元，乙方应在甲方付款前提交等额等税率的发票。</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75" w:firstLineChars="198"/>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2、产品运到甲方指定地点经外观检验，在初步验收合格后，甲方在</w:t>
      </w:r>
      <w:r>
        <w:rPr>
          <w:rFonts w:ascii="Times New Roman" w:hAnsi="Times New Roman" w:cs="Times New Roman"/>
          <w:color w:val="000000"/>
          <w:kern w:val="2"/>
          <w:sz w:val="24"/>
          <w:szCs w:val="24"/>
          <w:u w:val="single"/>
        </w:rPr>
        <w:t>5</w:t>
      </w:r>
      <w:r>
        <w:rPr>
          <w:rFonts w:ascii="Times New Roman" w:hAnsi="Times New Roman" w:cs="Times New Roman"/>
          <w:color w:val="000000"/>
          <w:kern w:val="2"/>
          <w:sz w:val="24"/>
          <w:szCs w:val="24"/>
        </w:rPr>
        <w:t>个工作日内支付到货标的物及安装费总价款的</w:t>
      </w:r>
      <w:r>
        <w:rPr>
          <w:rFonts w:ascii="Times New Roman" w:hAnsi="Times New Roman" w:cs="Times New Roman"/>
          <w:color w:val="000000"/>
          <w:kern w:val="2"/>
          <w:sz w:val="24"/>
          <w:szCs w:val="24"/>
          <w:u w:val="single"/>
        </w:rPr>
        <w:t>80%</w:t>
      </w:r>
      <w:r>
        <w:rPr>
          <w:rFonts w:ascii="Times New Roman" w:hAnsi="Times New Roman" w:cs="Times New Roman"/>
          <w:color w:val="000000"/>
          <w:kern w:val="2"/>
          <w:sz w:val="24"/>
          <w:szCs w:val="24"/>
        </w:rPr>
        <w:t>，共计</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万元，其中货款为</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万元，安装费为</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万元，乙方应在甲方付款前提交等额等税率的发票。</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hint="eastAsia" w:cs="Times New Roman"/>
          <w:color w:val="000000"/>
          <w:kern w:val="2"/>
          <w:sz w:val="24"/>
          <w:szCs w:val="24"/>
          <w:lang w:val="en-US" w:eastAsia="zh-CN"/>
        </w:rPr>
        <w:t>3</w:t>
      </w:r>
      <w:r>
        <w:rPr>
          <w:rFonts w:ascii="Times New Roman" w:hAnsi="Times New Roman" w:cs="Times New Roman"/>
          <w:color w:val="000000"/>
          <w:kern w:val="2"/>
          <w:sz w:val="24"/>
          <w:szCs w:val="24"/>
        </w:rPr>
        <w:t>、全部标的物安装调试结束，通过工程竣工验收并办理完结算手续后，经甲方、乙方共同签字确认后5 个工作日内，甲方支付至结算总价款的97%；共计</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万元，其中货款为</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万元，安装费为</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万元，乙方应在甲方付款前提交等额等税率的发票。</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hint="eastAsia" w:cs="Times New Roman"/>
          <w:color w:val="000000"/>
          <w:kern w:val="2"/>
          <w:sz w:val="24"/>
          <w:szCs w:val="24"/>
          <w:lang w:val="en-US" w:eastAsia="zh-CN"/>
        </w:rPr>
        <w:t>4</w:t>
      </w:r>
      <w:r>
        <w:rPr>
          <w:rFonts w:ascii="Times New Roman" w:hAnsi="Times New Roman" w:cs="Times New Roman"/>
          <w:color w:val="000000"/>
          <w:kern w:val="2"/>
          <w:sz w:val="24"/>
          <w:szCs w:val="24"/>
        </w:rPr>
        <w:t>、质保期满，所有标的物运行状况无质量问题，各方共同验收合格，在乙方向甲方移交质保期间的检查、验收等数据资料后，甲方将结算总价款的 3 %一次性无息付清，共计</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万元，其中货款为</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万元，安装费为</w:t>
      </w:r>
      <w:r>
        <w:rPr>
          <w:rFonts w:ascii="Times New Roman" w:hAnsi="Times New Roman" w:cs="Times New Roman"/>
          <w:color w:val="000000"/>
          <w:kern w:val="2"/>
          <w:sz w:val="24"/>
          <w:szCs w:val="24"/>
          <w:u w:val="single"/>
        </w:rPr>
        <w:t xml:space="preserve">     </w:t>
      </w:r>
      <w:r>
        <w:rPr>
          <w:rFonts w:ascii="Times New Roman" w:hAnsi="Times New Roman" w:cs="Times New Roman"/>
          <w:color w:val="000000"/>
          <w:kern w:val="2"/>
          <w:sz w:val="24"/>
          <w:szCs w:val="24"/>
        </w:rPr>
        <w:t>万元，乙方应在甲方付款前提交等额等税率的发票。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b/>
          <w:color w:val="000000"/>
          <w:kern w:val="2"/>
          <w:sz w:val="24"/>
          <w:szCs w:val="24"/>
        </w:rPr>
      </w:pPr>
      <w:r>
        <w:rPr>
          <w:rFonts w:ascii="Times New Roman" w:hAnsi="Times New Roman" w:cs="Times New Roman"/>
          <w:b/>
          <w:color w:val="000000"/>
          <w:kern w:val="2"/>
          <w:sz w:val="24"/>
          <w:szCs w:val="24"/>
        </w:rPr>
        <w:t>十五、设备质保方案及条款</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1、人员培训：在标的物安装调试结束后，乙方应免费为甲方人员提供培训，根据各工作人员的岗位，具体安排人员的培训计划。</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具体分为：1）、操作培训；2）、现场培训；3）、简单故障处理等。</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75" w:firstLineChars="198"/>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2、设备维护：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1）、质保期内：乙方承诺协助原厂制造商对设备故障负责并无偿修复。具体为：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A、随时与甲方保持联系，即时维护；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B、乙方指定不低于两名人员作为项目质保联系人；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C、提交原厂技术工程师联系方式；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D、标的物或安装出现故障，乙方在接到电话12小时内派员赶到现场，48小时内免费排除故障、修复或更换零部件，如遇特殊情况，以原厂质保规定为准。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E、因甲方使用不当造成标的物故障的，乙方接到通知后也应在12小时内赶到进行维修，若需更换零部件时，承诺按照成本价收取。</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75" w:firstLineChars="198"/>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2）、质保期外：更换零部件按照成本价收取。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color w:val="000000"/>
          <w:kern w:val="2"/>
          <w:sz w:val="24"/>
          <w:szCs w:val="24"/>
        </w:rPr>
        <w:t>3）</w:t>
      </w:r>
      <w:r>
        <w:rPr>
          <w:rFonts w:ascii="Times New Roman" w:hAnsi="Times New Roman" w:cs="Times New Roman"/>
          <w:sz w:val="24"/>
          <w:szCs w:val="24"/>
        </w:rPr>
        <w:t>修满后甲方需乙方继续提供质保服务的，应当另行签订协议。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3、系统的运维工作不包含在本合同中。</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十六、违约责任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b/>
          <w:color w:val="000000"/>
          <w:kern w:val="2"/>
          <w:sz w:val="24"/>
          <w:szCs w:val="24"/>
        </w:rPr>
      </w:pPr>
      <w:r>
        <w:rPr>
          <w:rFonts w:ascii="Times New Roman" w:hAnsi="Times New Roman" w:cs="Times New Roman"/>
          <w:kern w:val="2"/>
          <w:sz w:val="24"/>
          <w:szCs w:val="24"/>
        </w:rPr>
        <w:t>本合同生效后，甲乙双方均应当全面履行合同义务。任何一方违约，均应当按照约定承担违约责任，并赔偿对方由此受到的损失。其中：</w:t>
      </w:r>
      <w:r>
        <w:rPr>
          <w:rFonts w:ascii="Times New Roman" w:hAnsi="Times New Roman" w:cs="Times New Roman"/>
          <w:kern w:val="2"/>
          <w:sz w:val="24"/>
          <w:szCs w:val="24"/>
        </w:rPr>
        <w:br w:type="textWrapping"/>
      </w:r>
      <w:r>
        <w:rPr>
          <w:rFonts w:ascii="Times New Roman" w:hAnsi="Times New Roman" w:cs="Times New Roman"/>
          <w:kern w:val="2"/>
          <w:sz w:val="24"/>
          <w:szCs w:val="24"/>
        </w:rPr>
        <w:t>　　1．乙方逾期履约或不履约责任</w:t>
      </w:r>
      <w:r>
        <w:rPr>
          <w:rFonts w:ascii="Times New Roman" w:hAnsi="Times New Roman" w:cs="Times New Roman"/>
          <w:kern w:val="2"/>
          <w:sz w:val="24"/>
          <w:szCs w:val="24"/>
        </w:rPr>
        <w:br w:type="textWrapping"/>
      </w:r>
      <w:r>
        <w:rPr>
          <w:rFonts w:ascii="Times New Roman" w:hAnsi="Times New Roman" w:cs="Times New Roman"/>
          <w:kern w:val="2"/>
          <w:sz w:val="24"/>
          <w:szCs w:val="24"/>
        </w:rPr>
        <w:t>　　（1）乙方无正当理由逾期交付，逾期在3日内的，每逾期一日，乙方应当向甲方支付逾期部分价款1%的违约金，但违约金总数不得超过合同总价款的5%。</w:t>
      </w:r>
      <w:r>
        <w:rPr>
          <w:rFonts w:ascii="Times New Roman" w:hAnsi="Times New Roman" w:cs="Times New Roman"/>
          <w:kern w:val="2"/>
          <w:sz w:val="24"/>
          <w:szCs w:val="24"/>
        </w:rPr>
        <w:br w:type="textWrapping"/>
      </w:r>
      <w:r>
        <w:rPr>
          <w:rFonts w:ascii="Times New Roman" w:hAnsi="Times New Roman" w:cs="Times New Roman"/>
          <w:kern w:val="2"/>
          <w:sz w:val="24"/>
          <w:szCs w:val="24"/>
        </w:rPr>
        <w:t>　　（2）乙方不履行合同或交付的设备存在重大缺陷以致无法实现合同目的的，甲方有权要求乙方继续履行或解除合同。</w:t>
      </w:r>
      <w:r>
        <w:rPr>
          <w:rFonts w:ascii="Times New Roman" w:hAnsi="Times New Roman" w:cs="Times New Roman"/>
          <w:kern w:val="2"/>
          <w:sz w:val="24"/>
          <w:szCs w:val="24"/>
        </w:rPr>
        <w:br w:type="textWrapping"/>
      </w:r>
      <w:r>
        <w:rPr>
          <w:rFonts w:ascii="Times New Roman" w:hAnsi="Times New Roman" w:cs="Times New Roman"/>
          <w:kern w:val="2"/>
          <w:sz w:val="24"/>
          <w:szCs w:val="24"/>
        </w:rPr>
        <w:t>　　甲方要求继续履行合同的，应当在履行期限届满后3日内提出。乙方应当继续履行合同，并向甲方支付相当于合同总价款 3%的违约金。</w:t>
      </w:r>
      <w:r>
        <w:rPr>
          <w:rFonts w:ascii="Times New Roman" w:hAnsi="Times New Roman" w:cs="Times New Roman"/>
          <w:kern w:val="2"/>
          <w:sz w:val="24"/>
          <w:szCs w:val="24"/>
        </w:rPr>
        <w:br w:type="textWrapping"/>
      </w:r>
      <w:r>
        <w:rPr>
          <w:rFonts w:ascii="Times New Roman" w:hAnsi="Times New Roman" w:cs="Times New Roman"/>
          <w:kern w:val="2"/>
          <w:sz w:val="24"/>
          <w:szCs w:val="24"/>
        </w:rPr>
        <w:t>　　甲方要求解除合同的，乙方应当向甲方总计支付相当于合同总价款3%的违约金。如甲方同意接收部分项目硬件设备或软件系统的，甲方应当向乙方支付接收部分的价款，款项付清后该部分的相应权利归属甲方。</w:t>
      </w:r>
      <w:r>
        <w:rPr>
          <w:rFonts w:ascii="Times New Roman" w:hAnsi="Times New Roman" w:cs="Times New Roman"/>
          <w:kern w:val="2"/>
          <w:sz w:val="24"/>
          <w:szCs w:val="24"/>
        </w:rPr>
        <w:br w:type="textWrapping"/>
      </w:r>
      <w:r>
        <w:rPr>
          <w:rFonts w:ascii="Times New Roman" w:hAnsi="Times New Roman" w:cs="Times New Roman"/>
          <w:kern w:val="2"/>
          <w:sz w:val="24"/>
          <w:szCs w:val="24"/>
        </w:rPr>
        <w:t>　　2．甲方逾期付款责任</w:t>
      </w:r>
      <w:r>
        <w:rPr>
          <w:rFonts w:ascii="Times New Roman" w:hAnsi="Times New Roman" w:cs="Times New Roman"/>
          <w:kern w:val="2"/>
          <w:sz w:val="24"/>
          <w:szCs w:val="24"/>
        </w:rPr>
        <w:br w:type="textWrapping"/>
      </w:r>
      <w:r>
        <w:rPr>
          <w:rFonts w:ascii="Times New Roman" w:hAnsi="Times New Roman" w:cs="Times New Roman"/>
          <w:kern w:val="2"/>
          <w:sz w:val="24"/>
          <w:szCs w:val="24"/>
        </w:rPr>
        <w:t>　　（1）甲方逾期付款在3日内的，每逾期一日，甲方应当向乙方支付逾期应付款1%的违约金，但违约金总数不得超过合同总价款的5%。</w:t>
      </w:r>
      <w:r>
        <w:rPr>
          <w:rFonts w:ascii="Times New Roman" w:hAnsi="Times New Roman" w:cs="Times New Roman"/>
          <w:kern w:val="2"/>
          <w:sz w:val="24"/>
          <w:szCs w:val="24"/>
        </w:rPr>
        <w:br w:type="textWrapping"/>
      </w:r>
      <w:r>
        <w:rPr>
          <w:rFonts w:ascii="Times New Roman" w:hAnsi="Times New Roman" w:cs="Times New Roman"/>
          <w:kern w:val="2"/>
          <w:sz w:val="24"/>
          <w:szCs w:val="24"/>
        </w:rPr>
        <w:t>　　（2）逾期付款超过7日的，视为甲方不履行，乙方有权要求甲方继续履行或解除合同。</w:t>
      </w:r>
      <w:r>
        <w:rPr>
          <w:rFonts w:ascii="Times New Roman" w:hAnsi="Times New Roman" w:cs="Times New Roman"/>
          <w:kern w:val="2"/>
          <w:sz w:val="24"/>
          <w:szCs w:val="24"/>
        </w:rPr>
        <w:br w:type="textWrapping"/>
      </w:r>
      <w:r>
        <w:rPr>
          <w:rFonts w:ascii="Times New Roman" w:hAnsi="Times New Roman" w:cs="Times New Roman"/>
          <w:kern w:val="2"/>
          <w:sz w:val="24"/>
          <w:szCs w:val="24"/>
        </w:rPr>
        <w:t>　　乙方要求继续履行合同的，甲方应当向乙方总计支付逾期应付款3%的违约金，并赔偿乙方由此受到的损失，同时乙方履行本合同的期限相应顺延。</w:t>
      </w:r>
      <w:r>
        <w:rPr>
          <w:rFonts w:ascii="Times New Roman" w:hAnsi="Times New Roman" w:cs="Times New Roman"/>
          <w:kern w:val="2"/>
          <w:sz w:val="24"/>
          <w:szCs w:val="24"/>
        </w:rPr>
        <w:br w:type="textWrapping"/>
      </w:r>
      <w:r>
        <w:rPr>
          <w:rFonts w:ascii="Times New Roman" w:hAnsi="Times New Roman" w:cs="Times New Roman"/>
          <w:kern w:val="2"/>
          <w:sz w:val="24"/>
          <w:szCs w:val="24"/>
        </w:rPr>
        <w:t>　　乙方要求解除合同的，甲方应当支付乙方已交付的硬件和已完成的安装工作所对应的款项，并向乙方总计支付逾期应付款3%的违约金。</w:t>
      </w:r>
      <w:r>
        <w:rPr>
          <w:rFonts w:ascii="Times New Roman" w:hAnsi="Times New Roman" w:cs="Times New Roman"/>
          <w:kern w:val="2"/>
          <w:sz w:val="24"/>
          <w:szCs w:val="24"/>
        </w:rPr>
        <w:br w:type="textWrapping"/>
      </w:r>
      <w:r>
        <w:rPr>
          <w:rFonts w:ascii="Times New Roman" w:hAnsi="Times New Roman" w:cs="Times New Roman"/>
          <w:b/>
          <w:color w:val="000000"/>
          <w:kern w:val="2"/>
          <w:sz w:val="24"/>
          <w:szCs w:val="24"/>
        </w:rPr>
        <w:t>十七、保密</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ascii="Times New Roman" w:hAnsi="Times New Roman" w:cs="Times New Roman"/>
          <w:sz w:val="24"/>
          <w:szCs w:val="24"/>
        </w:rPr>
      </w:pPr>
      <w:r>
        <w:rPr>
          <w:rFonts w:ascii="Times New Roman" w:hAnsi="Times New Roman" w:cs="Times New Roman"/>
          <w:sz w:val="24"/>
          <w:szCs w:val="24"/>
        </w:rPr>
        <w:t>1、保密期限为本合同履行期间及本合同终止后5年。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2、在保密期限内,甲乙双方均有为对方保密的义务。甲乙双方保证，因履行本合同所获得的对方商业秘密，仅用于履行本合同项下的义务，并只为履行本合同的相关人员所知悉。任何一方的相关人员违反保密义务的，由该人员所属一方承担全部法律责任；但法律另有规定的除外。</w:t>
      </w:r>
      <w:r>
        <w:rPr>
          <w:rFonts w:ascii="Times New Roman" w:hAnsi="Times New Roman" w:cs="Times New Roman"/>
          <w:sz w:val="24"/>
          <w:szCs w:val="24"/>
        </w:rPr>
        <w:br w:type="textWrapping"/>
      </w:r>
      <w:r>
        <w:rPr>
          <w:rFonts w:ascii="Times New Roman" w:hAnsi="Times New Roman" w:cs="Times New Roman"/>
          <w:sz w:val="24"/>
          <w:szCs w:val="24"/>
        </w:rPr>
        <w:t xml:space="preserve">   3、本合同履行完毕后，甲乙双方均应当按照对方要求，处理所获得的对方有关资料信息或电子文档。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十八、其他约定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1、乙方的进场物资检验表应一式二份。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2、技术资料的提供：合同签订生效后3内，乙方向甲方提供所供标的物及安装调试等的《实施方案》。</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3、乙方在标的物没有库存配件的情况下，乙方应提前通知甲方，且乙方应提供确保配件供应必要的解决方案，以保证甲方标的物在正常的使用期间内的配件的供应。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bCs/>
          <w:color w:val="000000"/>
          <w:kern w:val="2"/>
          <w:sz w:val="24"/>
          <w:szCs w:val="24"/>
        </w:rPr>
      </w:pPr>
      <w:r>
        <w:rPr>
          <w:rFonts w:ascii="Times New Roman" w:hAnsi="Times New Roman" w:cs="Times New Roman"/>
          <w:bCs/>
          <w:color w:val="000000"/>
          <w:kern w:val="2"/>
          <w:sz w:val="24"/>
          <w:szCs w:val="24"/>
        </w:rPr>
        <w:t>4、乙方需保障甲方在使用该货物或其任何一部分时，不受到第三方关于侵犯专利权、商标权或者版权的指控。如果任何第三方提出侵权指控，乙方需与第三方交涉，并承担一切责任。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000000"/>
          <w:kern w:val="2"/>
          <w:sz w:val="24"/>
          <w:szCs w:val="24"/>
        </w:rPr>
      </w:pPr>
      <w:r>
        <w:rPr>
          <w:rFonts w:ascii="Times New Roman" w:hAnsi="Times New Roman" w:cs="Times New Roman"/>
          <w:bCs/>
          <w:color w:val="000000"/>
          <w:kern w:val="2"/>
          <w:sz w:val="24"/>
          <w:szCs w:val="24"/>
        </w:rPr>
        <w:t>5、因乙方违约，应支付的违约金，甲方可以从货款中予以扣除。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bCs/>
          <w:color w:val="000000"/>
          <w:kern w:val="2"/>
          <w:sz w:val="24"/>
          <w:szCs w:val="24"/>
        </w:rPr>
      </w:pPr>
      <w:r>
        <w:rPr>
          <w:rFonts w:ascii="Times New Roman" w:hAnsi="Times New Roman" w:cs="Times New Roman"/>
          <w:bCs/>
          <w:color w:val="000000"/>
          <w:kern w:val="2"/>
          <w:sz w:val="24"/>
          <w:szCs w:val="24"/>
        </w:rPr>
        <w:t>6、合同未尽事宜，甲乙双方另行协商解决，另外，乙方向甲方提供的有关图纸、解释、承诺、澄清修正资料等均为本合同不可分割的组成部分。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十九、争议解决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bCs/>
          <w:color w:val="000000"/>
          <w:kern w:val="2"/>
          <w:sz w:val="24"/>
          <w:szCs w:val="24"/>
        </w:rPr>
      </w:pPr>
      <w:r>
        <w:rPr>
          <w:rFonts w:ascii="Times New Roman" w:hAnsi="Times New Roman" w:cs="Times New Roman"/>
          <w:color w:val="000000"/>
          <w:kern w:val="2"/>
          <w:sz w:val="24"/>
          <w:szCs w:val="24"/>
        </w:rPr>
        <w:t>若甲乙双方对本协议有关条款的解释，包括其存在、有效或终止的任何问题产生争议、分歧或索赔，则应尽力通过友好协商或调解来解决该争议、分歧或索赔；协商或调解不成，双方都同意向</w:t>
      </w:r>
      <w:r>
        <w:rPr>
          <w:rFonts w:ascii="Times New Roman" w:hAnsi="Times New Roman" w:cs="Times New Roman"/>
          <w:bCs/>
          <w:color w:val="000000"/>
          <w:kern w:val="2"/>
          <w:sz w:val="24"/>
          <w:szCs w:val="24"/>
        </w:rPr>
        <w:t>合同签订地人民法院提起诉讼。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b/>
          <w:bCs/>
          <w:color w:val="000000"/>
          <w:kern w:val="2"/>
          <w:sz w:val="24"/>
          <w:szCs w:val="24"/>
        </w:rPr>
      </w:pPr>
      <w:r>
        <w:rPr>
          <w:rFonts w:ascii="Times New Roman" w:hAnsi="Times New Roman" w:cs="Times New Roman"/>
          <w:b/>
          <w:bCs/>
          <w:color w:val="000000"/>
          <w:kern w:val="2"/>
          <w:sz w:val="24"/>
          <w:szCs w:val="24"/>
        </w:rPr>
        <w:t>二十、合同份数及合同生效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 xml:space="preserve">    本合同一式六份，甲方三份，乙方三份；本合同经双方签字盖章后生效。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color w:val="000000"/>
          <w:kern w:val="2"/>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甲方(盖章):</w:t>
      </w:r>
      <w:r>
        <w:rPr>
          <w:rFonts w:ascii="Times New Roman" w:hAnsi="Times New Roman" w:cs="Times New Roman"/>
          <w:b/>
          <w:bCs/>
          <w:color w:val="000000"/>
          <w:kern w:val="2"/>
          <w:sz w:val="24"/>
          <w:szCs w:val="24"/>
        </w:rPr>
        <w:t xml:space="preserve">                        </w:t>
      </w:r>
      <w:r>
        <w:rPr>
          <w:rFonts w:ascii="Times New Roman" w:hAnsi="Times New Roman" w:cs="Times New Roman"/>
          <w:color w:val="000000"/>
          <w:kern w:val="2"/>
          <w:sz w:val="24"/>
          <w:szCs w:val="24"/>
        </w:rPr>
        <w:t xml:space="preserve">   乙方(盖章)：</w:t>
      </w:r>
      <w:r>
        <w:rPr>
          <w:rFonts w:ascii="Times New Roman" w:hAnsi="Times New Roman" w:cs="Times New Roman"/>
          <w:b/>
          <w:bCs/>
          <w:color w:val="000000"/>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630" w:hanging="63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单位地址：                                单位地址：</w:t>
      </w:r>
    </w:p>
    <w:p>
      <w:pPr>
        <w:keepNext w:val="0"/>
        <w:keepLines w:val="0"/>
        <w:pageBreakBefore w:val="0"/>
        <w:widowControl w:val="0"/>
        <w:kinsoku/>
        <w:wordWrap/>
        <w:overflowPunct/>
        <w:topLinePunct w:val="0"/>
        <w:autoSpaceDE/>
        <w:autoSpaceDN/>
        <w:bidi w:val="0"/>
        <w:adjustRightInd/>
        <w:snapToGrid/>
        <w:spacing w:line="360" w:lineRule="auto"/>
        <w:ind w:left="630" w:hanging="63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法定代表人：                              法定代表人：</w:t>
      </w:r>
    </w:p>
    <w:p>
      <w:pPr>
        <w:keepNext w:val="0"/>
        <w:keepLines w:val="0"/>
        <w:pageBreakBefore w:val="0"/>
        <w:widowControl w:val="0"/>
        <w:kinsoku/>
        <w:wordWrap/>
        <w:overflowPunct/>
        <w:topLinePunct w:val="0"/>
        <w:autoSpaceDE/>
        <w:autoSpaceDN/>
        <w:bidi w:val="0"/>
        <w:adjustRightInd/>
        <w:snapToGrid/>
        <w:spacing w:line="360" w:lineRule="auto"/>
        <w:ind w:left="630" w:hanging="63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委托代理人：                              委托代理人：</w:t>
      </w:r>
    </w:p>
    <w:p>
      <w:pPr>
        <w:keepNext w:val="0"/>
        <w:keepLines w:val="0"/>
        <w:pageBreakBefore w:val="0"/>
        <w:widowControl w:val="0"/>
        <w:kinsoku/>
        <w:wordWrap/>
        <w:overflowPunct/>
        <w:topLinePunct w:val="0"/>
        <w:autoSpaceDE/>
        <w:autoSpaceDN/>
        <w:bidi w:val="0"/>
        <w:adjustRightInd/>
        <w:snapToGrid/>
        <w:spacing w:line="360" w:lineRule="auto"/>
        <w:ind w:left="630" w:hanging="63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开户银行：                                开户银行：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ascii="Times New Roman" w:hAnsi="Times New Roman" w:cs="Times New Roman"/>
          <w:color w:val="000000"/>
          <w:kern w:val="2"/>
          <w:sz w:val="24"/>
          <w:szCs w:val="24"/>
        </w:rPr>
      </w:pPr>
      <w:bookmarkStart w:id="1007" w:name="_Toc138066563"/>
      <w:r>
        <w:rPr>
          <w:rFonts w:ascii="Times New Roman" w:hAnsi="Times New Roman" w:cs="Times New Roman"/>
          <w:color w:val="000000"/>
          <w:kern w:val="2"/>
          <w:sz w:val="24"/>
          <w:szCs w:val="24"/>
        </w:rPr>
        <w:t xml:space="preserve">账号：                                 </w:t>
      </w:r>
      <w:r>
        <w:rPr>
          <w:rFonts w:ascii="Times New Roman" w:hAnsi="Times New Roman" w:cs="Times New Roman"/>
          <w:color w:val="000000"/>
          <w:kern w:val="2"/>
          <w:sz w:val="24"/>
          <w:szCs w:val="24"/>
        </w:rPr>
        <w:tab/>
      </w:r>
      <w:r>
        <w:rPr>
          <w:rFonts w:ascii="Times New Roman" w:hAnsi="Times New Roman" w:cs="Times New Roman"/>
          <w:color w:val="000000"/>
          <w:kern w:val="2"/>
          <w:sz w:val="24"/>
          <w:szCs w:val="24"/>
        </w:rPr>
        <w:t>账号：</w:t>
      </w:r>
      <w:bookmarkEnd w:id="1007"/>
    </w:p>
    <w:p>
      <w:pPr>
        <w:keepNext w:val="0"/>
        <w:keepLines w:val="0"/>
        <w:pageBreakBefore w:val="0"/>
        <w:widowControl w:val="0"/>
        <w:kinsoku/>
        <w:wordWrap/>
        <w:overflowPunct/>
        <w:topLinePunct w:val="0"/>
        <w:autoSpaceDE/>
        <w:autoSpaceDN/>
        <w:bidi w:val="0"/>
        <w:adjustRightInd/>
        <w:snapToGrid/>
        <w:spacing w:line="360" w:lineRule="auto"/>
        <w:ind w:left="630" w:hanging="63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税号：                                    税号：</w:t>
      </w:r>
    </w:p>
    <w:p>
      <w:pPr>
        <w:keepNext w:val="0"/>
        <w:keepLines w:val="0"/>
        <w:pageBreakBefore w:val="0"/>
        <w:widowControl w:val="0"/>
        <w:kinsoku/>
        <w:wordWrap/>
        <w:overflowPunct/>
        <w:topLinePunct w:val="0"/>
        <w:autoSpaceDE/>
        <w:autoSpaceDN/>
        <w:bidi w:val="0"/>
        <w:adjustRightInd/>
        <w:snapToGrid/>
        <w:spacing w:line="360" w:lineRule="auto"/>
        <w:ind w:left="630" w:hanging="63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电话：                                    电话：</w:t>
      </w:r>
    </w:p>
    <w:p>
      <w:pPr>
        <w:keepNext w:val="0"/>
        <w:keepLines w:val="0"/>
        <w:pageBreakBefore w:val="0"/>
        <w:widowControl w:val="0"/>
        <w:kinsoku/>
        <w:wordWrap/>
        <w:overflowPunct/>
        <w:topLinePunct w:val="0"/>
        <w:autoSpaceDE/>
        <w:autoSpaceDN/>
        <w:bidi w:val="0"/>
        <w:adjustRightInd/>
        <w:snapToGrid/>
        <w:spacing w:line="360" w:lineRule="auto"/>
        <w:ind w:left="630" w:hanging="630"/>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传真：                                    传真：</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ascii="Times New Roman" w:hAnsi="Times New Roman" w:cs="Times New Roman"/>
          <w:color w:val="000000"/>
          <w:kern w:val="2"/>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合同签订地点：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签订时间：   年   月   日                 签订时间：   年   月   日</w:t>
      </w:r>
    </w:p>
    <w:p>
      <w:pPr>
        <w:rPr>
          <w:rFonts w:asciiTheme="minorEastAsia" w:hAnsiTheme="minorEastAsia" w:eastAsiaTheme="minorEastAsia"/>
          <w:b/>
          <w:sz w:val="24"/>
        </w:rPr>
      </w:pPr>
      <w:r>
        <w:rPr>
          <w:rFonts w:asciiTheme="minorEastAsia" w:hAnsiTheme="minorEastAsia" w:eastAsiaTheme="minorEastAsia"/>
          <w:b/>
          <w:sz w:val="24"/>
        </w:rPr>
        <w:br w:type="page"/>
      </w:r>
    </w:p>
    <w:p>
      <w:pPr>
        <w:widowControl/>
        <w:jc w:val="left"/>
        <w:rPr>
          <w:rFonts w:asciiTheme="minorEastAsia" w:hAnsiTheme="minorEastAsia" w:eastAsiaTheme="minorEastAsia"/>
          <w:b/>
          <w:sz w:val="24"/>
        </w:rPr>
      </w:pPr>
    </w:p>
    <w:p>
      <w:pPr>
        <w:widowControl/>
        <w:jc w:val="left"/>
        <w:rPr>
          <w:rFonts w:asciiTheme="minorEastAsia" w:hAnsiTheme="minorEastAsia" w:eastAsiaTheme="minorEastAsia"/>
          <w:b/>
          <w:sz w:val="24"/>
        </w:rPr>
      </w:pPr>
    </w:p>
    <w:p>
      <w:pPr>
        <w:spacing w:line="360" w:lineRule="auto"/>
        <w:jc w:val="center"/>
        <w:outlineLvl w:val="0"/>
        <w:rPr>
          <w:b/>
          <w:sz w:val="36"/>
          <w:szCs w:val="36"/>
        </w:rPr>
      </w:pPr>
      <w:bookmarkStart w:id="1008" w:name="_Toc29785"/>
      <w:r>
        <w:rPr>
          <w:b/>
          <w:sz w:val="36"/>
          <w:szCs w:val="36"/>
        </w:rPr>
        <w:t>第七章   投标文件格式</w:t>
      </w:r>
      <w:bookmarkEnd w:id="1008"/>
    </w:p>
    <w:p>
      <w:pPr>
        <w:tabs>
          <w:tab w:val="left" w:pos="900"/>
          <w:tab w:val="left" w:pos="1980"/>
        </w:tabs>
        <w:snapToGrid w:val="0"/>
        <w:spacing w:line="360" w:lineRule="auto"/>
        <w:ind w:left="142"/>
        <w:rPr>
          <w:rFonts w:asciiTheme="minorEastAsia" w:hAnsiTheme="minorEastAsia" w:eastAsiaTheme="minorEastAsia"/>
          <w:b/>
          <w:sz w:val="24"/>
        </w:rPr>
      </w:pPr>
    </w:p>
    <w:p>
      <w:pPr>
        <w:tabs>
          <w:tab w:val="left" w:pos="900"/>
          <w:tab w:val="left" w:pos="1980"/>
        </w:tabs>
        <w:snapToGrid w:val="0"/>
        <w:spacing w:line="360" w:lineRule="auto"/>
        <w:ind w:left="142"/>
        <w:rPr>
          <w:rFonts w:asciiTheme="minorEastAsia" w:hAnsiTheme="minorEastAsia" w:eastAsiaTheme="minorEastAsia"/>
          <w:b/>
          <w:sz w:val="24"/>
        </w:rPr>
      </w:pPr>
    </w:p>
    <w:p>
      <w:pPr>
        <w:tabs>
          <w:tab w:val="left" w:pos="900"/>
          <w:tab w:val="left" w:pos="1980"/>
        </w:tabs>
        <w:snapToGrid w:val="0"/>
        <w:spacing w:line="360" w:lineRule="auto"/>
        <w:ind w:left="142"/>
        <w:rPr>
          <w:rFonts w:asciiTheme="minorEastAsia" w:hAnsiTheme="minorEastAsia" w:eastAsiaTheme="minorEastAsia"/>
          <w:sz w:val="24"/>
        </w:rPr>
      </w:pPr>
      <w:r>
        <w:rPr>
          <w:rFonts w:asciiTheme="minorEastAsia" w:hAnsiTheme="minorEastAsia" w:eastAsiaTheme="minorEastAsia"/>
          <w:b/>
          <w:sz w:val="24"/>
        </w:rPr>
        <w:t>投标人编制文件须知</w:t>
      </w:r>
    </w:p>
    <w:p>
      <w:pPr>
        <w:tabs>
          <w:tab w:val="left" w:pos="900"/>
          <w:tab w:val="left" w:pos="1980"/>
        </w:tabs>
        <w:snapToGrid w:val="0"/>
        <w:spacing w:line="360" w:lineRule="auto"/>
        <w:ind w:left="142"/>
        <w:rPr>
          <w:rFonts w:asciiTheme="minorEastAsia" w:hAnsiTheme="minorEastAsia" w:eastAsiaTheme="minorEastAsia"/>
          <w:sz w:val="24"/>
        </w:rPr>
      </w:pPr>
      <w:r>
        <w:rPr>
          <w:rFonts w:asciiTheme="minorEastAsia" w:hAnsiTheme="minorEastAsia" w:eastAsiaTheme="minorEastAsia"/>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rFonts w:asciiTheme="minorEastAsia" w:hAnsiTheme="minorEastAsia" w:eastAsiaTheme="minorEastAsia"/>
          <w:kern w:val="0"/>
          <w:sz w:val="24"/>
        </w:rPr>
      </w:pPr>
      <w:r>
        <w:rPr>
          <w:rFonts w:asciiTheme="minorEastAsia" w:hAnsiTheme="minorEastAsia" w:eastAsiaTheme="minorEastAsia"/>
          <w:sz w:val="24"/>
        </w:rPr>
        <w:t>2、</w:t>
      </w:r>
      <w:r>
        <w:rPr>
          <w:rFonts w:asciiTheme="minorEastAsia" w:hAnsiTheme="minorEastAsia" w:eastAsiaTheme="minorEastAsia"/>
          <w:kern w:val="0"/>
          <w:sz w:val="24"/>
        </w:rPr>
        <w:t>对于招标文件中标记了“实质性格式”文件的，</w:t>
      </w:r>
      <w:r>
        <w:rPr>
          <w:rFonts w:asciiTheme="minorEastAsia" w:hAnsiTheme="minorEastAsia" w:eastAsiaTheme="minor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Theme="minorEastAsia" w:hAnsiTheme="minorEastAsia" w:eastAsiaTheme="minorEastAsia"/>
          <w:kern w:val="0"/>
          <w:sz w:val="24"/>
        </w:rPr>
        <w:t>否则</w:t>
      </w:r>
      <w:r>
        <w:rPr>
          <w:rFonts w:asciiTheme="minorEastAsia" w:hAnsiTheme="minorEastAsia" w:eastAsiaTheme="minorEastAsia"/>
          <w:b/>
          <w:kern w:val="0"/>
          <w:sz w:val="24"/>
        </w:rPr>
        <w:t>投标无效</w:t>
      </w:r>
      <w:r>
        <w:rPr>
          <w:rFonts w:asciiTheme="minorEastAsia" w:hAnsiTheme="minorEastAsia" w:eastAsiaTheme="minorEastAsia"/>
          <w:kern w:val="0"/>
          <w:sz w:val="24"/>
        </w:rPr>
        <w:t>。未标记“实质性格式”的文件和招标文件未提供格式的内容，可由投标人自行编写。</w:t>
      </w:r>
    </w:p>
    <w:p>
      <w:pPr>
        <w:tabs>
          <w:tab w:val="left" w:pos="900"/>
          <w:tab w:val="left" w:pos="1980"/>
        </w:tabs>
        <w:snapToGrid w:val="0"/>
        <w:spacing w:line="360" w:lineRule="auto"/>
        <w:ind w:left="142"/>
        <w:rPr>
          <w:rFonts w:asciiTheme="minorEastAsia" w:hAnsiTheme="minorEastAsia" w:eastAsiaTheme="minorEastAsia"/>
          <w:sz w:val="24"/>
        </w:rPr>
      </w:pPr>
      <w:r>
        <w:rPr>
          <w:rFonts w:asciiTheme="minorEastAsia" w:hAnsiTheme="minorEastAsia" w:eastAsiaTheme="minorEastAsia"/>
          <w:sz w:val="24"/>
        </w:rPr>
        <w:t>3、全部声明和问题的回答及所附材料必须是真实的、准确的和完整的。</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pPr>
        <w:rPr>
          <w:b/>
          <w:spacing w:val="20"/>
          <w:szCs w:val="21"/>
        </w:rPr>
      </w:pPr>
    </w:p>
    <w:p>
      <w:pPr>
        <w:rPr>
          <w:b/>
          <w:sz w:val="24"/>
        </w:rPr>
      </w:pPr>
      <w:r>
        <w:rPr>
          <w:b/>
          <w:spacing w:val="20"/>
          <w:sz w:val="24"/>
        </w:rPr>
        <w:t>投标文件（资格证明文件）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（资格证明文件）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rPr>
          <w:b/>
        </w:rPr>
      </w:pPr>
      <w:r>
        <w:rPr>
          <w:b/>
          <w:spacing w:val="20"/>
          <w:sz w:val="32"/>
          <w:szCs w:val="32"/>
        </w:rPr>
        <w:br w:type="page"/>
      </w:r>
    </w:p>
    <w:p>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pPr>
        <w:spacing w:line="360" w:lineRule="auto"/>
        <w:outlineLvl w:val="2"/>
        <w:rPr>
          <w:color w:val="000000"/>
          <w:sz w:val="24"/>
          <w:szCs w:val="20"/>
        </w:rPr>
      </w:pPr>
      <w:r>
        <w:rPr>
          <w:color w:val="000000"/>
          <w:sz w:val="24"/>
          <w:szCs w:val="20"/>
        </w:rPr>
        <w:t>1-1营业执照等证明文件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6"/>
        <w:rPr>
          <w:rFonts w:ascii="Times New Roman"/>
          <w:b w:val="0"/>
          <w:bCs/>
          <w:color w:val="000000"/>
          <w:u w:val="none"/>
        </w:rPr>
      </w:pPr>
      <w:r>
        <w:rPr>
          <w:rFonts w:ascii="Times New Roman"/>
          <w:b w:val="0"/>
          <w:color w:val="000000"/>
          <w:u w:val="none"/>
        </w:rPr>
        <w:t>1-2 投标人资格声明书（实质性格式）</w:t>
      </w:r>
    </w:p>
    <w:p>
      <w:pPr>
        <w:jc w:val="center"/>
        <w:rPr>
          <w:b/>
          <w:color w:val="000000"/>
          <w:sz w:val="36"/>
          <w:szCs w:val="36"/>
        </w:rPr>
      </w:pPr>
      <w:r>
        <w:rPr>
          <w:rFonts w:hint="eastAsia"/>
          <w:b/>
          <w:color w:val="000000"/>
          <w:sz w:val="36"/>
          <w:szCs w:val="36"/>
        </w:rPr>
        <w:t>投标人资格声明书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在参与本次项目投标中，我单位承诺：</w:t>
      </w:r>
    </w:p>
    <w:p>
      <w:pPr>
        <w:numPr>
          <w:ilvl w:val="0"/>
          <w:numId w:val="13"/>
        </w:numPr>
        <w:spacing w:line="360" w:lineRule="auto"/>
        <w:ind w:left="1134"/>
        <w:rPr>
          <w:sz w:val="24"/>
          <w:szCs w:val="22"/>
        </w:rPr>
      </w:pPr>
      <w:r>
        <w:rPr>
          <w:sz w:val="24"/>
          <w:szCs w:val="22"/>
        </w:rPr>
        <w:t>具有良好的商业信誉和健全的财务会计制度；</w:t>
      </w:r>
    </w:p>
    <w:p>
      <w:pPr>
        <w:numPr>
          <w:ilvl w:val="0"/>
          <w:numId w:val="13"/>
        </w:numPr>
        <w:spacing w:line="360" w:lineRule="auto"/>
        <w:ind w:left="1134"/>
        <w:rPr>
          <w:sz w:val="24"/>
          <w:szCs w:val="22"/>
        </w:rPr>
      </w:pPr>
      <w:r>
        <w:rPr>
          <w:sz w:val="24"/>
          <w:szCs w:val="22"/>
        </w:rPr>
        <w:t>具有履行合同所必需的设备和专业技术能力；</w:t>
      </w:r>
    </w:p>
    <w:p>
      <w:pPr>
        <w:numPr>
          <w:ilvl w:val="0"/>
          <w:numId w:val="13"/>
        </w:numPr>
        <w:spacing w:line="360" w:lineRule="auto"/>
        <w:ind w:left="1134"/>
        <w:rPr>
          <w:sz w:val="24"/>
          <w:szCs w:val="22"/>
        </w:rPr>
      </w:pPr>
      <w:r>
        <w:rPr>
          <w:sz w:val="24"/>
          <w:szCs w:val="22"/>
        </w:rPr>
        <w:t>有依法缴纳税收和社会保障资金的良好记录；</w:t>
      </w:r>
    </w:p>
    <w:p>
      <w:pPr>
        <w:numPr>
          <w:ilvl w:val="0"/>
          <w:numId w:val="1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3"/>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pPr>
        <w:tabs>
          <w:tab w:val="left" w:pos="5580"/>
        </w:tabs>
        <w:spacing w:line="360" w:lineRule="auto"/>
        <w:rPr>
          <w:sz w:val="24"/>
        </w:rPr>
        <w:sectPr>
          <w:footerReference r:id="rId8" w:type="default"/>
          <w:pgSz w:w="11907" w:h="16840"/>
          <w:pgMar w:top="1418" w:right="1134" w:bottom="1418" w:left="1701" w:header="851" w:footer="851" w:gutter="0"/>
          <w:cols w:space="720" w:num="1"/>
          <w:docGrid w:linePitch="462" w:charSpace="0"/>
        </w:sectPr>
      </w:pPr>
    </w:p>
    <w:p>
      <w:pPr>
        <w:spacing w:line="360" w:lineRule="auto"/>
        <w:outlineLvl w:val="2"/>
        <w:rPr>
          <w:color w:val="000000"/>
          <w:sz w:val="24"/>
          <w:szCs w:val="20"/>
        </w:rPr>
      </w:pPr>
      <w:r>
        <w:rPr>
          <w:color w:val="000000"/>
          <w:sz w:val="24"/>
          <w:szCs w:val="20"/>
        </w:rPr>
        <w:t>2 落实政府采购政策需满足的资格要求</w:t>
      </w:r>
    </w:p>
    <w:p>
      <w:pPr>
        <w:spacing w:line="360" w:lineRule="auto"/>
        <w:outlineLvl w:val="2"/>
        <w:rPr>
          <w:color w:val="000000"/>
          <w:sz w:val="24"/>
          <w:szCs w:val="20"/>
        </w:rPr>
      </w:pPr>
      <w:r>
        <w:rPr>
          <w:color w:val="000000"/>
          <w:sz w:val="24"/>
          <w:szCs w:val="20"/>
        </w:rPr>
        <w:t>2-1中小企业声明函</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w:t>
      </w:r>
      <w:r>
        <w:rPr>
          <w:rFonts w:hint="eastAsia"/>
          <w:sz w:val="24"/>
        </w:rPr>
        <w:t>资格证明文件部分</w:t>
      </w:r>
      <w:r>
        <w:rPr>
          <w:sz w:val="24"/>
        </w:rPr>
        <w:t>无需提供《中小企业声明函》。</w:t>
      </w:r>
    </w:p>
    <w:p>
      <w:pPr>
        <w:tabs>
          <w:tab w:val="left" w:pos="5580"/>
        </w:tabs>
        <w:spacing w:line="360" w:lineRule="auto"/>
        <w:rPr>
          <w:sz w:val="24"/>
        </w:rPr>
      </w:pPr>
      <w:r>
        <w:rPr>
          <w:sz w:val="24"/>
        </w:rPr>
        <w:t>（2）如本项目（包）专门面向中小/小微企业采购，须提供《中小企业声明函》</w:t>
      </w:r>
      <w:r>
        <w:rPr>
          <w:color w:val="000000"/>
          <w:sz w:val="24"/>
          <w:szCs w:val="20"/>
        </w:rPr>
        <w:t>（实质性格式）</w:t>
      </w:r>
      <w:r>
        <w:rPr>
          <w:sz w:val="24"/>
        </w:rPr>
        <w:t>。</w:t>
      </w:r>
    </w:p>
    <w:p>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sz w:val="24"/>
        </w:rPr>
      </w:pPr>
      <w:r>
        <w:rPr>
          <w:rFonts w:hint="eastAsia"/>
          <w:sz w:val="24"/>
        </w:rPr>
        <w:t>（4）其他</w:t>
      </w:r>
    </w:p>
    <w:p>
      <w:pPr>
        <w:tabs>
          <w:tab w:val="left" w:pos="5580"/>
        </w:tabs>
        <w:spacing w:line="360" w:lineRule="auto"/>
        <w:rPr>
          <w:sz w:val="24"/>
        </w:rPr>
      </w:pPr>
      <w:r>
        <w:rPr>
          <w:rFonts w:hint="eastAsia"/>
          <w:sz w:val="24"/>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rFonts w:hint="eastAsia"/>
          <w:sz w:val="24"/>
        </w:rPr>
        <w:t>3）对于多标的的采购项目，投标人应充分、准确地了解所投产品制造企业信息。对相关情况了解不清楚的，不建议填报本声明函。</w:t>
      </w:r>
    </w:p>
    <w:p>
      <w:pPr>
        <w:tabs>
          <w:tab w:val="left" w:pos="5580"/>
        </w:tabs>
        <w:spacing w:line="360" w:lineRule="auto"/>
        <w:rPr>
          <w:sz w:val="24"/>
        </w:rPr>
      </w:pPr>
      <w:r>
        <w:rPr>
          <w:rFonts w:hint="eastAsia"/>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widowControl/>
        <w:jc w:val="left"/>
        <w:rPr>
          <w:sz w:val="24"/>
        </w:rPr>
      </w:pPr>
      <w:r>
        <w:rPr>
          <w:sz w:val="24"/>
        </w:rPr>
        <w:br w:type="page"/>
      </w:r>
    </w:p>
    <w:p>
      <w:pPr>
        <w:spacing w:before="240" w:beforeLines="100" w:after="240" w:afterLines="100" w:line="360" w:lineRule="auto"/>
        <w:jc w:val="center"/>
        <w:rPr>
          <w:b/>
          <w:color w:val="000000"/>
          <w:sz w:val="36"/>
          <w:szCs w:val="36"/>
        </w:rPr>
      </w:pPr>
      <w:r>
        <w:rPr>
          <w:rFonts w:hint="eastAsia"/>
          <w:b/>
          <w:bCs/>
          <w:color w:val="000000"/>
          <w:sz w:val="36"/>
          <w:szCs w:val="36"/>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240" w:beforeLines="100" w:after="240" w:afterLines="100" w:line="360" w:lineRule="auto"/>
        <w:jc w:val="center"/>
        <w:rPr>
          <w:b/>
          <w:bCs/>
          <w:color w:val="000000"/>
          <w:sz w:val="36"/>
          <w:szCs w:val="36"/>
        </w:rPr>
      </w:pPr>
      <w:r>
        <w:rPr>
          <w:color w:val="000000"/>
          <w:sz w:val="24"/>
        </w:rPr>
        <w:br w:type="page"/>
      </w:r>
      <w:r>
        <w:rPr>
          <w:rFonts w:hint="eastAsia"/>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widowControl/>
        <w:jc w:val="left"/>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2-2拟分包情况说明及分包意向协议（类型一）（实质性格式）</w:t>
      </w:r>
      <w:r>
        <w:rPr>
          <w:b/>
          <w:color w:val="000000"/>
          <w:sz w:val="24"/>
          <w:szCs w:val="20"/>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127"/>
              <w:jc w:val="center"/>
              <w:rPr>
                <w:sz w:val="24"/>
              </w:rPr>
            </w:pPr>
            <w:r>
              <w:rPr>
                <w:sz w:val="24"/>
              </w:rPr>
              <w:t>序号</w:t>
            </w:r>
          </w:p>
        </w:tc>
        <w:tc>
          <w:tcPr>
            <w:tcW w:w="1287" w:type="dxa"/>
            <w:vAlign w:val="center"/>
          </w:tcPr>
          <w:p>
            <w:pPr>
              <w:pStyle w:val="127"/>
              <w:jc w:val="center"/>
              <w:rPr>
                <w:sz w:val="24"/>
              </w:rPr>
            </w:pPr>
            <w:r>
              <w:rPr>
                <w:sz w:val="24"/>
              </w:rPr>
              <w:t>分包承担</w:t>
            </w:r>
          </w:p>
          <w:p>
            <w:pPr>
              <w:pStyle w:val="127"/>
              <w:jc w:val="center"/>
              <w:rPr>
                <w:sz w:val="24"/>
              </w:rPr>
            </w:pPr>
            <w:r>
              <w:rPr>
                <w:sz w:val="24"/>
              </w:rPr>
              <w:t>主体名称</w:t>
            </w:r>
          </w:p>
        </w:tc>
        <w:tc>
          <w:tcPr>
            <w:tcW w:w="1513" w:type="dxa"/>
            <w:vAlign w:val="center"/>
          </w:tcPr>
          <w:p>
            <w:pPr>
              <w:pStyle w:val="127"/>
              <w:jc w:val="center"/>
              <w:rPr>
                <w:sz w:val="24"/>
                <w:lang w:eastAsia="zh-CN"/>
              </w:rPr>
            </w:pPr>
            <w:r>
              <w:rPr>
                <w:sz w:val="24"/>
                <w:lang w:eastAsia="zh-CN"/>
              </w:rPr>
              <w:t>分包承担</w:t>
            </w:r>
          </w:p>
          <w:p>
            <w:pPr>
              <w:pStyle w:val="127"/>
              <w:jc w:val="center"/>
              <w:rPr>
                <w:sz w:val="24"/>
                <w:lang w:eastAsia="zh-CN"/>
              </w:rPr>
            </w:pPr>
            <w:r>
              <w:rPr>
                <w:sz w:val="24"/>
                <w:lang w:eastAsia="zh-CN"/>
              </w:rPr>
              <w:t>主体类型</w:t>
            </w:r>
          </w:p>
          <w:p>
            <w:pPr>
              <w:pStyle w:val="127"/>
              <w:jc w:val="center"/>
              <w:rPr>
                <w:sz w:val="24"/>
                <w:lang w:eastAsia="zh-CN"/>
              </w:rPr>
            </w:pPr>
            <w:r>
              <w:rPr>
                <w:rFonts w:hint="eastAsia"/>
                <w:sz w:val="24"/>
                <w:lang w:eastAsia="zh-CN"/>
              </w:rPr>
              <w:t>（勾选）</w:t>
            </w:r>
          </w:p>
        </w:tc>
        <w:tc>
          <w:tcPr>
            <w:tcW w:w="1125" w:type="dxa"/>
            <w:vAlign w:val="center"/>
          </w:tcPr>
          <w:p>
            <w:pPr>
              <w:pStyle w:val="127"/>
              <w:jc w:val="center"/>
              <w:rPr>
                <w:sz w:val="24"/>
              </w:rPr>
            </w:pPr>
            <w:r>
              <w:rPr>
                <w:sz w:val="24"/>
              </w:rPr>
              <w:t>资质等级</w:t>
            </w:r>
          </w:p>
        </w:tc>
        <w:tc>
          <w:tcPr>
            <w:tcW w:w="1558" w:type="dxa"/>
            <w:vAlign w:val="center"/>
          </w:tcPr>
          <w:p>
            <w:pPr>
              <w:pStyle w:val="127"/>
              <w:jc w:val="center"/>
              <w:rPr>
                <w:sz w:val="24"/>
              </w:rPr>
            </w:pPr>
            <w:r>
              <w:rPr>
                <w:sz w:val="24"/>
              </w:rPr>
              <w:t>拟分包</w:t>
            </w:r>
          </w:p>
          <w:p>
            <w:pPr>
              <w:pStyle w:val="127"/>
              <w:jc w:val="center"/>
              <w:rPr>
                <w:sz w:val="24"/>
              </w:rPr>
            </w:pPr>
            <w:r>
              <w:rPr>
                <w:sz w:val="24"/>
              </w:rPr>
              <w:t>合同内容</w:t>
            </w:r>
          </w:p>
        </w:tc>
        <w:tc>
          <w:tcPr>
            <w:tcW w:w="1498" w:type="dxa"/>
            <w:vAlign w:val="center"/>
          </w:tcPr>
          <w:p>
            <w:pPr>
              <w:pStyle w:val="127"/>
              <w:jc w:val="center"/>
              <w:rPr>
                <w:sz w:val="24"/>
                <w:lang w:eastAsia="zh-CN"/>
              </w:rPr>
            </w:pPr>
            <w:r>
              <w:rPr>
                <w:sz w:val="24"/>
                <w:lang w:eastAsia="zh-CN"/>
              </w:rPr>
              <w:t>拟分包</w:t>
            </w:r>
          </w:p>
          <w:p>
            <w:pPr>
              <w:pStyle w:val="127"/>
              <w:jc w:val="center"/>
              <w:rPr>
                <w:sz w:val="24"/>
                <w:lang w:eastAsia="zh-CN"/>
              </w:rPr>
            </w:pPr>
            <w:r>
              <w:rPr>
                <w:sz w:val="24"/>
                <w:lang w:eastAsia="zh-CN"/>
              </w:rPr>
              <w:t>合同金额</w:t>
            </w:r>
          </w:p>
          <w:p>
            <w:pPr>
              <w:pStyle w:val="127"/>
              <w:jc w:val="center"/>
              <w:rPr>
                <w:sz w:val="24"/>
                <w:lang w:eastAsia="zh-CN"/>
              </w:rPr>
            </w:pPr>
            <w:r>
              <w:rPr>
                <w:sz w:val="24"/>
                <w:lang w:eastAsia="zh-CN"/>
              </w:rPr>
              <w:t>（人民币元）</w:t>
            </w:r>
          </w:p>
        </w:tc>
        <w:tc>
          <w:tcPr>
            <w:tcW w:w="1564" w:type="dxa"/>
            <w:vAlign w:val="center"/>
          </w:tcPr>
          <w:p>
            <w:pPr>
              <w:pStyle w:val="127"/>
              <w:jc w:val="center"/>
              <w:rPr>
                <w:sz w:val="24"/>
                <w:lang w:eastAsia="zh-CN"/>
              </w:rPr>
            </w:pPr>
            <w:r>
              <w:rPr>
                <w:sz w:val="24"/>
                <w:lang w:eastAsia="zh-CN"/>
              </w:rPr>
              <w:t>占该采购包</w:t>
            </w:r>
          </w:p>
          <w:p>
            <w:pPr>
              <w:pStyle w:val="127"/>
              <w:jc w:val="center"/>
              <w:rPr>
                <w:b/>
                <w:sz w:val="24"/>
                <w:lang w:eastAsia="zh-CN"/>
              </w:rPr>
            </w:pPr>
            <w:r>
              <w:rPr>
                <w:rFonts w:hint="eastAsia"/>
                <w:b/>
                <w:sz w:val="24"/>
                <w:lang w:eastAsia="zh-CN"/>
              </w:rPr>
              <w:t>预算</w:t>
            </w:r>
            <w:r>
              <w:rPr>
                <w:b/>
                <w:sz w:val="24"/>
                <w:lang w:eastAsia="zh-CN"/>
              </w:rPr>
              <w:t>金额的</w:t>
            </w:r>
          </w:p>
          <w:p>
            <w:pPr>
              <w:pStyle w:val="127"/>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27"/>
              <w:jc w:val="center"/>
              <w:rPr>
                <w:rFonts w:ascii="Times New Roman"/>
                <w:sz w:val="24"/>
              </w:rPr>
            </w:pPr>
            <w:r>
              <w:rPr>
                <w:rFonts w:ascii="Times New Roman"/>
                <w:sz w:val="24"/>
              </w:rPr>
              <w:t>1</w:t>
            </w:r>
          </w:p>
        </w:tc>
        <w:tc>
          <w:tcPr>
            <w:tcW w:w="1287" w:type="dxa"/>
            <w:vAlign w:val="center"/>
          </w:tcPr>
          <w:p>
            <w:pPr>
              <w:pStyle w:val="127"/>
              <w:jc w:val="center"/>
              <w:rPr>
                <w:rFonts w:ascii="Times New Roman" w:hAnsi="Times New Roman" w:cs="Times New Roman"/>
                <w:sz w:val="30"/>
              </w:rPr>
            </w:pPr>
          </w:p>
        </w:tc>
        <w:tc>
          <w:tcPr>
            <w:tcW w:w="1513" w:type="dxa"/>
            <w:vAlign w:val="center"/>
          </w:tcPr>
          <w:p>
            <w:pPr>
              <w:pStyle w:val="12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pPr>
              <w:pStyle w:val="12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vAlign w:val="center"/>
          </w:tcPr>
          <w:p>
            <w:pPr>
              <w:pStyle w:val="127"/>
              <w:jc w:val="center"/>
              <w:rPr>
                <w:rFonts w:ascii="Times New Roman"/>
                <w:sz w:val="30"/>
                <w:lang w:eastAsia="zh-CN"/>
              </w:rPr>
            </w:pPr>
          </w:p>
        </w:tc>
        <w:tc>
          <w:tcPr>
            <w:tcW w:w="1558" w:type="dxa"/>
            <w:vAlign w:val="center"/>
          </w:tcPr>
          <w:p>
            <w:pPr>
              <w:pStyle w:val="127"/>
              <w:jc w:val="center"/>
              <w:rPr>
                <w:rFonts w:ascii="Times New Roman"/>
                <w:sz w:val="30"/>
                <w:lang w:eastAsia="zh-CN"/>
              </w:rPr>
            </w:pPr>
          </w:p>
        </w:tc>
        <w:tc>
          <w:tcPr>
            <w:tcW w:w="1498" w:type="dxa"/>
            <w:vAlign w:val="center"/>
          </w:tcPr>
          <w:p>
            <w:pPr>
              <w:pStyle w:val="127"/>
              <w:jc w:val="center"/>
              <w:rPr>
                <w:rFonts w:ascii="Times New Roman"/>
                <w:sz w:val="30"/>
                <w:lang w:eastAsia="zh-CN"/>
              </w:rPr>
            </w:pPr>
          </w:p>
        </w:tc>
        <w:tc>
          <w:tcPr>
            <w:tcW w:w="1564" w:type="dxa"/>
            <w:vAlign w:val="center"/>
          </w:tcPr>
          <w:p>
            <w:pPr>
              <w:pStyle w:val="127"/>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27"/>
              <w:jc w:val="center"/>
              <w:rPr>
                <w:rFonts w:ascii="Times New Roman"/>
                <w:sz w:val="24"/>
                <w:lang w:eastAsia="zh-CN"/>
              </w:rPr>
            </w:pPr>
            <w:r>
              <w:rPr>
                <w:rFonts w:hint="eastAsia" w:ascii="Times New Roman"/>
                <w:sz w:val="24"/>
                <w:lang w:eastAsia="zh-CN"/>
              </w:rPr>
              <w:t>2</w:t>
            </w:r>
          </w:p>
        </w:tc>
        <w:tc>
          <w:tcPr>
            <w:tcW w:w="1287" w:type="dxa"/>
            <w:vAlign w:val="center"/>
          </w:tcPr>
          <w:p>
            <w:pPr>
              <w:pStyle w:val="127"/>
              <w:jc w:val="center"/>
              <w:rPr>
                <w:rFonts w:ascii="Times New Roman"/>
                <w:sz w:val="30"/>
              </w:rPr>
            </w:pPr>
          </w:p>
        </w:tc>
        <w:tc>
          <w:tcPr>
            <w:tcW w:w="1513" w:type="dxa"/>
            <w:vAlign w:val="center"/>
          </w:tcPr>
          <w:p>
            <w:pPr>
              <w:pStyle w:val="12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pPr>
              <w:pStyle w:val="12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vAlign w:val="center"/>
          </w:tcPr>
          <w:p>
            <w:pPr>
              <w:pStyle w:val="127"/>
              <w:jc w:val="center"/>
              <w:rPr>
                <w:rFonts w:ascii="Times New Roman"/>
                <w:sz w:val="30"/>
                <w:lang w:eastAsia="zh-CN"/>
              </w:rPr>
            </w:pPr>
          </w:p>
        </w:tc>
        <w:tc>
          <w:tcPr>
            <w:tcW w:w="1558" w:type="dxa"/>
            <w:vAlign w:val="center"/>
          </w:tcPr>
          <w:p>
            <w:pPr>
              <w:pStyle w:val="127"/>
              <w:jc w:val="center"/>
              <w:rPr>
                <w:rFonts w:ascii="Times New Roman"/>
                <w:sz w:val="30"/>
                <w:lang w:eastAsia="zh-CN"/>
              </w:rPr>
            </w:pPr>
          </w:p>
        </w:tc>
        <w:tc>
          <w:tcPr>
            <w:tcW w:w="1498" w:type="dxa"/>
            <w:vAlign w:val="center"/>
          </w:tcPr>
          <w:p>
            <w:pPr>
              <w:pStyle w:val="127"/>
              <w:jc w:val="center"/>
              <w:rPr>
                <w:rFonts w:ascii="Times New Roman"/>
                <w:sz w:val="30"/>
                <w:lang w:eastAsia="zh-CN"/>
              </w:rPr>
            </w:pPr>
          </w:p>
        </w:tc>
        <w:tc>
          <w:tcPr>
            <w:tcW w:w="1564" w:type="dxa"/>
            <w:vAlign w:val="center"/>
          </w:tcPr>
          <w:p>
            <w:pPr>
              <w:pStyle w:val="127"/>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27"/>
              <w:jc w:val="center"/>
              <w:rPr>
                <w:rFonts w:ascii="Times New Roman"/>
                <w:sz w:val="24"/>
                <w:lang w:eastAsia="zh-CN"/>
              </w:rPr>
            </w:pPr>
            <w:r>
              <w:rPr>
                <w:rFonts w:ascii="Times New Roman"/>
                <w:sz w:val="24"/>
                <w:lang w:eastAsia="zh-CN"/>
              </w:rPr>
              <w:t>…</w:t>
            </w:r>
          </w:p>
        </w:tc>
        <w:tc>
          <w:tcPr>
            <w:tcW w:w="1287" w:type="dxa"/>
            <w:vAlign w:val="center"/>
          </w:tcPr>
          <w:p>
            <w:pPr>
              <w:pStyle w:val="127"/>
              <w:jc w:val="center"/>
              <w:rPr>
                <w:rFonts w:ascii="Times New Roman"/>
                <w:sz w:val="30"/>
              </w:rPr>
            </w:pPr>
          </w:p>
        </w:tc>
        <w:tc>
          <w:tcPr>
            <w:tcW w:w="1513" w:type="dxa"/>
            <w:vAlign w:val="center"/>
          </w:tcPr>
          <w:p>
            <w:pPr>
              <w:pStyle w:val="127"/>
              <w:tabs>
                <w:tab w:val="left" w:pos="235"/>
              </w:tabs>
              <w:jc w:val="center"/>
              <w:rPr>
                <w:sz w:val="24"/>
              </w:rPr>
            </w:pPr>
          </w:p>
        </w:tc>
        <w:tc>
          <w:tcPr>
            <w:tcW w:w="1125" w:type="dxa"/>
            <w:vAlign w:val="center"/>
          </w:tcPr>
          <w:p>
            <w:pPr>
              <w:pStyle w:val="127"/>
              <w:jc w:val="center"/>
              <w:rPr>
                <w:rFonts w:ascii="Times New Roman"/>
                <w:sz w:val="30"/>
              </w:rPr>
            </w:pPr>
          </w:p>
        </w:tc>
        <w:tc>
          <w:tcPr>
            <w:tcW w:w="1558" w:type="dxa"/>
            <w:vAlign w:val="center"/>
          </w:tcPr>
          <w:p>
            <w:pPr>
              <w:pStyle w:val="127"/>
              <w:jc w:val="center"/>
              <w:rPr>
                <w:rFonts w:ascii="Times New Roman"/>
                <w:sz w:val="30"/>
              </w:rPr>
            </w:pPr>
          </w:p>
        </w:tc>
        <w:tc>
          <w:tcPr>
            <w:tcW w:w="1498" w:type="dxa"/>
            <w:vAlign w:val="center"/>
          </w:tcPr>
          <w:p>
            <w:pPr>
              <w:pStyle w:val="127"/>
              <w:jc w:val="center"/>
              <w:rPr>
                <w:rFonts w:ascii="Times New Roman"/>
                <w:sz w:val="30"/>
              </w:rPr>
            </w:pPr>
          </w:p>
        </w:tc>
        <w:tc>
          <w:tcPr>
            <w:tcW w:w="1564" w:type="dxa"/>
            <w:vAlign w:val="center"/>
          </w:tcPr>
          <w:p>
            <w:pPr>
              <w:pStyle w:val="127"/>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127"/>
              <w:ind w:right="57" w:rightChars="27"/>
              <w:jc w:val="right"/>
              <w:rPr>
                <w:sz w:val="24"/>
                <w:lang w:eastAsia="zh-CN"/>
              </w:rPr>
            </w:pPr>
            <w:r>
              <w:rPr>
                <w:rFonts w:hint="eastAsia"/>
                <w:sz w:val="24"/>
                <w:lang w:eastAsia="zh-CN"/>
              </w:rPr>
              <w:t>合计：</w:t>
            </w:r>
          </w:p>
        </w:tc>
        <w:tc>
          <w:tcPr>
            <w:tcW w:w="1498" w:type="dxa"/>
            <w:vAlign w:val="center"/>
          </w:tcPr>
          <w:p>
            <w:pPr>
              <w:pStyle w:val="127"/>
              <w:jc w:val="center"/>
              <w:rPr>
                <w:rFonts w:ascii="Times New Roman"/>
                <w:sz w:val="30"/>
              </w:rPr>
            </w:pPr>
          </w:p>
        </w:tc>
        <w:tc>
          <w:tcPr>
            <w:tcW w:w="1564" w:type="dxa"/>
            <w:vAlign w:val="center"/>
          </w:tcPr>
          <w:p>
            <w:pPr>
              <w:pStyle w:val="127"/>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pPr>
        <w:spacing w:line="360" w:lineRule="auto"/>
        <w:ind w:right="-57" w:firstLine="480"/>
        <w:jc w:val="right"/>
        <w:rPr>
          <w:color w:val="000000"/>
          <w:sz w:val="24"/>
        </w:rPr>
      </w:pPr>
      <w:r>
        <w:rPr>
          <w:color w:val="000000"/>
          <w:sz w:val="24"/>
          <w:szCs w:val="20"/>
        </w:rPr>
        <w:t>日期：_____年______月______日</w:t>
      </w:r>
    </w:p>
    <w:p>
      <w:pPr>
        <w:adjustRightInd w:val="0"/>
        <w:snapToGrid w:val="0"/>
        <w:spacing w:line="360" w:lineRule="auto"/>
        <w:jc w:val="left"/>
        <w:rPr>
          <w:sz w:val="24"/>
        </w:rPr>
      </w:pPr>
    </w:p>
    <w:p>
      <w:pPr>
        <w:adjustRightInd w:val="0"/>
        <w:snapToGrid w:val="0"/>
        <w:spacing w:line="360" w:lineRule="auto"/>
        <w:jc w:val="left"/>
        <w:rPr>
          <w:sz w:val="24"/>
        </w:rPr>
      </w:pPr>
      <w:r>
        <w:rPr>
          <w:sz w:val="24"/>
        </w:rPr>
        <w:t>说明：</w:t>
      </w:r>
    </w:p>
    <w:p>
      <w:pPr>
        <w:adjustRightInd w:val="0"/>
        <w:snapToGrid w:val="0"/>
        <w:spacing w:line="360" w:lineRule="auto"/>
        <w:jc w:val="left"/>
        <w:rPr>
          <w:sz w:val="24"/>
        </w:rPr>
      </w:pPr>
      <w:r>
        <w:rPr>
          <w:sz w:val="24"/>
        </w:rPr>
        <w:t>（1）本表仅在投标人“为落实政府采购政策”而向中小企业分包时填写，非因“为落实政府采购政策”而进行的分包请按照《</w:t>
      </w:r>
      <w:r>
        <w:rPr>
          <w:color w:val="000000"/>
          <w:sz w:val="24"/>
          <w:szCs w:val="20"/>
        </w:rPr>
        <w:t>拟分包情况说明（类型二）</w:t>
      </w:r>
      <w:r>
        <w:rPr>
          <w:sz w:val="24"/>
        </w:rPr>
        <w:t>》要求填写。</w:t>
      </w:r>
    </w:p>
    <w:p>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pPr>
        <w:adjustRightInd w:val="0"/>
        <w:snapToGrid w:val="0"/>
        <w:spacing w:line="360" w:lineRule="auto"/>
        <w:jc w:val="left"/>
        <w:rPr>
          <w:color w:val="000000"/>
          <w:sz w:val="30"/>
          <w:szCs w:val="30"/>
        </w:rPr>
      </w:pPr>
      <w:r>
        <w:rPr>
          <w:sz w:val="24"/>
        </w:rPr>
        <w:t>（3）投标人与上述拟分包承担主体签署的《分包意向协议》后附。</w:t>
      </w:r>
    </w:p>
    <w:p>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附：分包意向协议（实质性格式）</w:t>
      </w:r>
    </w:p>
    <w:p>
      <w:pPr>
        <w:adjustRightInd w:val="0"/>
        <w:snapToGrid w:val="0"/>
        <w:spacing w:line="360" w:lineRule="auto"/>
        <w:ind w:firstLine="480" w:firstLineChars="200"/>
        <w:jc w:val="left"/>
        <w:rPr>
          <w:sz w:val="24"/>
        </w:rPr>
      </w:pPr>
      <w:r>
        <w:rPr>
          <w:sz w:val="24"/>
        </w:rPr>
        <w:t>甲方（投标人）：________</w:t>
      </w:r>
    </w:p>
    <w:p>
      <w:pPr>
        <w:adjustRightInd w:val="0"/>
        <w:snapToGrid w:val="0"/>
        <w:spacing w:line="360" w:lineRule="auto"/>
        <w:ind w:firstLine="480" w:firstLineChars="200"/>
        <w:jc w:val="left"/>
        <w:rPr>
          <w:sz w:val="24"/>
        </w:rPr>
      </w:pPr>
      <w:r>
        <w:rPr>
          <w:sz w:val="24"/>
        </w:rPr>
        <w:t>乙方（拟分包单位）：________</w:t>
      </w:r>
    </w:p>
    <w:p>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w:t>
      </w:r>
    </w:p>
    <w:p>
      <w:pPr>
        <w:adjustRightInd w:val="0"/>
        <w:snapToGrid w:val="0"/>
        <w:spacing w:line="360" w:lineRule="auto"/>
        <w:ind w:firstLine="480" w:firstLineChars="200"/>
        <w:jc w:val="left"/>
        <w:rPr>
          <w:sz w:val="24"/>
        </w:rPr>
      </w:pPr>
      <w:r>
        <w:rPr>
          <w:sz w:val="24"/>
        </w:rPr>
        <w:t>2.分包金额：_____，该金额占该采购包预算总金额的比例为___%。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甲方（盖章）：_________                 乙方（盖章）：_________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szCs w:val="20"/>
        </w:rPr>
        <w:t xml:space="preserve">日期：_____年______月______日   </w:t>
      </w:r>
    </w:p>
    <w:p>
      <w:pPr>
        <w:tabs>
          <w:tab w:val="left" w:pos="8280"/>
        </w:tabs>
        <w:spacing w:line="360" w:lineRule="auto"/>
        <w:ind w:firstLine="480"/>
        <w:rPr>
          <w:color w:val="000000"/>
          <w:sz w:val="24"/>
        </w:rPr>
      </w:pPr>
    </w:p>
    <w:p>
      <w:pPr>
        <w:tabs>
          <w:tab w:val="left" w:pos="8280"/>
        </w:tabs>
        <w:spacing w:line="360" w:lineRule="auto"/>
        <w:rPr>
          <w:color w:val="000000"/>
          <w:sz w:val="24"/>
        </w:rPr>
        <w:sectPr>
          <w:headerReference r:id="rId10" w:type="first"/>
          <w:footerReference r:id="rId12" w:type="first"/>
          <w:headerReference r:id="rId9" w:type="even"/>
          <w:footerReference r:id="rId11" w:type="even"/>
          <w:pgSz w:w="11907" w:h="16840"/>
          <w:pgMar w:top="1418" w:right="1134" w:bottom="1418" w:left="1701" w:header="851" w:footer="851" w:gutter="0"/>
          <w:cols w:space="720" w:num="1"/>
          <w:docGrid w:linePitch="462" w:charSpace="0"/>
        </w:sectPr>
      </w:pPr>
      <w:r>
        <w:rPr>
          <w:color w:val="000000"/>
          <w:sz w:val="24"/>
        </w:rPr>
        <w:t>说明：投标人须与所有拟分包单位分别签订《分包意向协议》，每单位签订一份，并在投标文件中提交全部协议原件的电子件，否则</w:t>
      </w:r>
      <w:r>
        <w:rPr>
          <w:b/>
          <w:color w:val="000000"/>
          <w:sz w:val="24"/>
        </w:rPr>
        <w:t>投标无效</w:t>
      </w:r>
      <w:r>
        <w:rPr>
          <w:color w:val="000000"/>
          <w:sz w:val="24"/>
        </w:rPr>
        <w:t>。</w:t>
      </w:r>
    </w:p>
    <w:p>
      <w:pPr>
        <w:spacing w:line="360" w:lineRule="auto"/>
        <w:outlineLvl w:val="2"/>
        <w:rPr>
          <w:color w:val="000000"/>
          <w:sz w:val="24"/>
          <w:szCs w:val="20"/>
        </w:rPr>
      </w:pPr>
      <w:r>
        <w:rPr>
          <w:color w:val="000000"/>
          <w:sz w:val="24"/>
          <w:szCs w:val="20"/>
        </w:rPr>
        <w:t xml:space="preserve">2-3 </w:t>
      </w:r>
      <w:r>
        <w:rPr>
          <w:sz w:val="24"/>
        </w:rPr>
        <w:t>其它落实政府采购政策的资格要求</w:t>
      </w:r>
      <w:r>
        <w:rPr>
          <w:color w:val="000000"/>
          <w:sz w:val="24"/>
          <w:szCs w:val="20"/>
        </w:rPr>
        <w:t>（如有）</w:t>
      </w:r>
    </w:p>
    <w:p>
      <w:pPr>
        <w:widowControl/>
        <w:jc w:val="left"/>
        <w:rPr>
          <w:sz w:val="24"/>
        </w:rPr>
      </w:pPr>
    </w:p>
    <w:p>
      <w:pPr>
        <w:widowControl/>
        <w:jc w:val="left"/>
        <w:rPr>
          <w:sz w:val="24"/>
        </w:rPr>
      </w:pPr>
      <w:r>
        <w:rPr>
          <w:sz w:val="24"/>
        </w:rPr>
        <w:br w:type="page"/>
      </w:r>
    </w:p>
    <w:p>
      <w:pPr>
        <w:spacing w:line="360" w:lineRule="auto"/>
        <w:outlineLvl w:val="2"/>
        <w:rPr>
          <w:sz w:val="24"/>
        </w:rPr>
      </w:pPr>
      <w:r>
        <w:rPr>
          <w:color w:val="000000"/>
          <w:sz w:val="24"/>
          <w:szCs w:val="20"/>
        </w:rPr>
        <w:t xml:space="preserve">3 </w:t>
      </w:r>
      <w:r>
        <w:rPr>
          <w:sz w:val="24"/>
        </w:rPr>
        <w:t>本项目的特定资格要求</w:t>
      </w:r>
      <w:r>
        <w:rPr>
          <w:color w:val="000000"/>
          <w:sz w:val="24"/>
          <w:szCs w:val="20"/>
        </w:rPr>
        <w:t>（如有）</w:t>
      </w:r>
    </w:p>
    <w:p>
      <w:pPr>
        <w:spacing w:line="360" w:lineRule="auto"/>
        <w:outlineLvl w:val="2"/>
        <w:rPr>
          <w:color w:val="000000"/>
          <w:sz w:val="24"/>
          <w:szCs w:val="20"/>
        </w:rPr>
      </w:pPr>
      <w:r>
        <w:rPr>
          <w:color w:val="000000"/>
          <w:sz w:val="24"/>
          <w:szCs w:val="20"/>
        </w:rPr>
        <w:t>3-1联合协议（如有）（实质性格式）</w:t>
      </w:r>
      <w:r>
        <w:rPr>
          <w:b/>
          <w:color w:val="000000"/>
          <w:sz w:val="24"/>
          <w:szCs w:val="20"/>
        </w:rPr>
        <w:t>（本项目不涉及）</w:t>
      </w:r>
    </w:p>
    <w:p>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pPr>
        <w:numPr>
          <w:ilvl w:val="0"/>
          <w:numId w:val="14"/>
        </w:numPr>
        <w:spacing w:line="360" w:lineRule="auto"/>
        <w:rPr>
          <w:bCs/>
          <w:color w:val="000000"/>
          <w:sz w:val="24"/>
        </w:rPr>
      </w:pPr>
      <w:r>
        <w:rPr>
          <w:bCs/>
          <w:color w:val="000000"/>
          <w:sz w:val="24"/>
        </w:rPr>
        <w:t>由_________牵头，_________、__________参加，组成联合体共同进行招标项目的投标工作。</w:t>
      </w:r>
    </w:p>
    <w:p>
      <w:pPr>
        <w:numPr>
          <w:ilvl w:val="0"/>
          <w:numId w:val="14"/>
        </w:numPr>
        <w:spacing w:line="360" w:lineRule="auto"/>
        <w:rPr>
          <w:bCs/>
          <w:color w:val="000000"/>
          <w:sz w:val="24"/>
        </w:rPr>
      </w:pPr>
      <w:r>
        <w:rPr>
          <w:bCs/>
          <w:color w:val="000000"/>
          <w:sz w:val="24"/>
        </w:rPr>
        <w:t>______为本次投标的牵头人，联合体以牵头人的名义参加投标，联合体中标后，联合体各方共同与采购人签订合同，就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pPr>
        <w:numPr>
          <w:ilvl w:val="0"/>
          <w:numId w:val="14"/>
        </w:numPr>
        <w:spacing w:line="360" w:lineRule="auto"/>
        <w:rPr>
          <w:bCs/>
          <w:color w:val="000000"/>
          <w:sz w:val="24"/>
        </w:rPr>
      </w:pPr>
      <w:r>
        <w:rPr>
          <w:bCs/>
          <w:color w:val="000000"/>
          <w:sz w:val="24"/>
        </w:rPr>
        <w:t>联合体各方均同意由牵头人代表其他联合体成员单位按招标文件要求出具《授权委托书》。</w:t>
      </w:r>
    </w:p>
    <w:p>
      <w:pPr>
        <w:numPr>
          <w:ilvl w:val="0"/>
          <w:numId w:val="14"/>
        </w:numPr>
        <w:spacing w:line="360" w:lineRule="auto"/>
        <w:rPr>
          <w:bCs/>
          <w:color w:val="000000"/>
          <w:sz w:val="24"/>
        </w:rPr>
      </w:pPr>
      <w:r>
        <w:rPr>
          <w:bCs/>
          <w:color w:val="000000"/>
          <w:sz w:val="24"/>
        </w:rPr>
        <w:t>牵头人为项目的总负责单位；组织各参加方进行项目实施工作。</w:t>
      </w:r>
    </w:p>
    <w:p>
      <w:pPr>
        <w:numPr>
          <w:ilvl w:val="0"/>
          <w:numId w:val="14"/>
        </w:numPr>
        <w:spacing w:line="360" w:lineRule="auto"/>
        <w:rPr>
          <w:bCs/>
          <w:color w:val="000000"/>
          <w:sz w:val="24"/>
        </w:rPr>
      </w:pPr>
      <w:r>
        <w:rPr>
          <w:bCs/>
          <w:color w:val="000000"/>
          <w:sz w:val="24"/>
        </w:rPr>
        <w:t>______负责_____，具体工作范围、内容以投标文件及合同为准。</w:t>
      </w:r>
    </w:p>
    <w:p>
      <w:pPr>
        <w:numPr>
          <w:ilvl w:val="0"/>
          <w:numId w:val="14"/>
        </w:numPr>
        <w:spacing w:line="360" w:lineRule="auto"/>
        <w:rPr>
          <w:bCs/>
          <w:color w:val="000000"/>
          <w:sz w:val="24"/>
        </w:rPr>
      </w:pPr>
      <w:r>
        <w:rPr>
          <w:bCs/>
          <w:color w:val="000000"/>
          <w:sz w:val="24"/>
        </w:rPr>
        <w:t>______负责_____，具体工作范围、内容以投标文件及合同为准。</w:t>
      </w:r>
    </w:p>
    <w:p>
      <w:pPr>
        <w:numPr>
          <w:ilvl w:val="0"/>
          <w:numId w:val="14"/>
        </w:numPr>
        <w:spacing w:line="360" w:lineRule="auto"/>
        <w:rPr>
          <w:bCs/>
          <w:color w:val="000000"/>
          <w:sz w:val="24"/>
        </w:rPr>
      </w:pPr>
      <w:r>
        <w:rPr>
          <w:bCs/>
          <w:color w:val="000000"/>
          <w:sz w:val="24"/>
        </w:rPr>
        <w:t>______负责_____（如有），具体工作范围、内容以投标文件及合同为准。</w:t>
      </w:r>
    </w:p>
    <w:p>
      <w:pPr>
        <w:numPr>
          <w:ilvl w:val="0"/>
          <w:numId w:val="14"/>
        </w:numPr>
        <w:spacing w:line="360" w:lineRule="auto"/>
        <w:rPr>
          <w:sz w:val="24"/>
        </w:rPr>
      </w:pPr>
      <w:r>
        <w:rPr>
          <w:sz w:val="24"/>
        </w:rPr>
        <w:t>本项目联合协议合同总额为________元，联合体各成员按照如下比例分摊（按联合体成员分别列明）：</w:t>
      </w:r>
    </w:p>
    <w:p>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pPr>
        <w:numPr>
          <w:ilvl w:val="0"/>
          <w:numId w:val="14"/>
        </w:numPr>
        <w:tabs>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pPr>
        <w:numPr>
          <w:ilvl w:val="0"/>
          <w:numId w:val="14"/>
        </w:numPr>
        <w:spacing w:line="360" w:lineRule="auto"/>
        <w:rPr>
          <w:bCs/>
          <w:color w:val="000000"/>
          <w:sz w:val="24"/>
        </w:rPr>
      </w:pPr>
      <w:r>
        <w:rPr>
          <w:bCs/>
          <w:color w:val="000000"/>
          <w:sz w:val="24"/>
        </w:rPr>
        <w:t>其他约定（如有）：_______</w:t>
      </w:r>
      <w:r>
        <w:rPr>
          <w:rFonts w:hint="eastAsia"/>
          <w:bCs/>
          <w:color w:val="000000"/>
          <w:sz w:val="24"/>
        </w:rPr>
        <w:t>。</w:t>
      </w:r>
    </w:p>
    <w:p>
      <w:pPr>
        <w:tabs>
          <w:tab w:val="left" w:pos="780"/>
        </w:tabs>
        <w:spacing w:line="360" w:lineRule="auto"/>
        <w:ind w:firstLine="480" w:firstLineChars="20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pPr>
        <w:spacing w:line="360" w:lineRule="auto"/>
        <w:ind w:firstLine="471"/>
        <w:rPr>
          <w:color w:val="000000"/>
          <w:sz w:val="24"/>
        </w:rPr>
      </w:pPr>
    </w:p>
    <w:p>
      <w:pPr>
        <w:spacing w:line="360" w:lineRule="auto"/>
        <w:ind w:firstLine="471"/>
        <w:rPr>
          <w:color w:val="000000"/>
          <w:sz w:val="24"/>
        </w:rPr>
      </w:pPr>
    </w:p>
    <w:p>
      <w:pPr>
        <w:spacing w:line="360" w:lineRule="auto"/>
        <w:ind w:left="480"/>
        <w:jc w:val="right"/>
        <w:rPr>
          <w:color w:val="000000"/>
          <w:sz w:val="24"/>
        </w:rPr>
      </w:pPr>
    </w:p>
    <w:p>
      <w:pPr>
        <w:spacing w:line="360" w:lineRule="auto"/>
        <w:ind w:left="480"/>
        <w:jc w:val="right"/>
        <w:rPr>
          <w:color w:val="000000"/>
          <w:sz w:val="24"/>
        </w:rPr>
      </w:pPr>
      <w:r>
        <w:rPr>
          <w:color w:val="000000"/>
          <w:sz w:val="24"/>
          <w:szCs w:val="20"/>
        </w:rPr>
        <w:t>日期：_____年______月______日</w:t>
      </w:r>
    </w:p>
    <w:p>
      <w:pPr>
        <w:spacing w:line="360" w:lineRule="auto"/>
        <w:ind w:left="480"/>
        <w:jc w:val="right"/>
        <w:rPr>
          <w:b/>
          <w:color w:val="000000"/>
          <w:sz w:val="24"/>
        </w:rPr>
      </w:pPr>
    </w:p>
    <w:p>
      <w:pPr>
        <w:tabs>
          <w:tab w:val="left" w:pos="8280"/>
        </w:tabs>
        <w:spacing w:line="360" w:lineRule="auto"/>
        <w:ind w:firstLine="480"/>
        <w:rPr>
          <w:color w:val="000000"/>
          <w:sz w:val="24"/>
        </w:rPr>
      </w:pPr>
    </w:p>
    <w:p>
      <w:pPr>
        <w:tabs>
          <w:tab w:val="left" w:pos="8280"/>
        </w:tabs>
        <w:spacing w:line="360" w:lineRule="auto"/>
        <w:ind w:firstLine="480"/>
        <w:rPr>
          <w:color w:val="000000"/>
          <w:sz w:val="24"/>
        </w:rPr>
      </w:pPr>
    </w:p>
    <w:p>
      <w:pPr>
        <w:spacing w:line="360" w:lineRule="auto"/>
        <w:ind w:left="719" w:leftChars="228" w:hanging="240" w:hangingChars="100"/>
        <w:rPr>
          <w:sz w:val="24"/>
        </w:rPr>
      </w:pPr>
      <w:r>
        <w:rPr>
          <w:color w:val="000000"/>
          <w:sz w:val="24"/>
        </w:rPr>
        <w:t>注：联合体各方成员应在本协议上共同盖章，不得分别签署协议书。</w:t>
      </w:r>
    </w:p>
    <w:p>
      <w:pPr>
        <w:spacing w:line="360" w:lineRule="auto"/>
        <w:ind w:left="719" w:leftChars="228" w:hanging="240" w:hangingChars="100"/>
        <w:rPr>
          <w:sz w:val="24"/>
        </w:rPr>
      </w:pPr>
      <w:r>
        <w:rPr>
          <w:sz w:val="24"/>
        </w:rPr>
        <w:br w:type="page"/>
      </w:r>
    </w:p>
    <w:p>
      <w:pPr>
        <w:spacing w:line="360" w:lineRule="auto"/>
        <w:outlineLvl w:val="2"/>
        <w:rPr>
          <w:sz w:val="24"/>
          <w:szCs w:val="20"/>
        </w:rPr>
      </w:pPr>
      <w:r>
        <w:rPr>
          <w:color w:val="000000"/>
          <w:sz w:val="24"/>
          <w:szCs w:val="20"/>
        </w:rPr>
        <w:t>3-2其他</w:t>
      </w:r>
      <w:r>
        <w:rPr>
          <w:sz w:val="24"/>
          <w:szCs w:val="20"/>
        </w:rPr>
        <w:t>特定资格要求</w:t>
      </w:r>
    </w:p>
    <w:p>
      <w:pPr>
        <w:widowControl/>
        <w:jc w:val="left"/>
        <w:rPr>
          <w:sz w:val="24"/>
          <w:szCs w:val="20"/>
        </w:rPr>
      </w:pPr>
      <w:r>
        <w:rPr>
          <w:sz w:val="24"/>
          <w:szCs w:val="20"/>
        </w:rPr>
        <w:br w:type="page"/>
      </w:r>
    </w:p>
    <w:p>
      <w:pPr>
        <w:spacing w:line="360" w:lineRule="auto"/>
        <w:outlineLvl w:val="2"/>
        <w:rPr>
          <w:sz w:val="24"/>
          <w:szCs w:val="20"/>
        </w:rPr>
      </w:pPr>
      <w:r>
        <w:rPr>
          <w:sz w:val="24"/>
          <w:szCs w:val="20"/>
        </w:rPr>
        <w:t xml:space="preserve">4 </w:t>
      </w:r>
      <w:r>
        <w:rPr>
          <w:color w:val="000000"/>
          <w:sz w:val="24"/>
          <w:szCs w:val="20"/>
        </w:rPr>
        <w:t>投标保证金</w:t>
      </w:r>
      <w:r>
        <w:rPr>
          <w:rFonts w:hint="eastAsia"/>
          <w:color w:val="000000"/>
          <w:sz w:val="24"/>
          <w:szCs w:val="20"/>
        </w:rPr>
        <w:t>凭证/</w:t>
      </w:r>
      <w:r>
        <w:rPr>
          <w:color w:val="000000"/>
          <w:sz w:val="24"/>
          <w:szCs w:val="20"/>
        </w:rPr>
        <w:t>交款单据电子件</w:t>
      </w:r>
    </w:p>
    <w:p>
      <w:pPr>
        <w:spacing w:line="360" w:lineRule="auto"/>
        <w:rPr>
          <w:sz w:val="24"/>
          <w:szCs w:val="20"/>
        </w:rPr>
      </w:pPr>
    </w:p>
    <w:p>
      <w:pPr>
        <w:spacing w:line="360" w:lineRule="auto"/>
        <w:rPr>
          <w:sz w:val="24"/>
          <w:szCs w:val="20"/>
        </w:rPr>
      </w:pPr>
    </w:p>
    <w:p>
      <w:pPr>
        <w:widowControl/>
        <w:jc w:val="left"/>
        <w:rPr>
          <w:kern w:val="0"/>
          <w:sz w:val="24"/>
          <w:szCs w:val="20"/>
        </w:rPr>
      </w:pPr>
      <w:r>
        <w:rPr>
          <w:sz w:val="24"/>
          <w:szCs w:val="20"/>
        </w:rPr>
        <w:br w:type="page"/>
      </w:r>
    </w:p>
    <w:p>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pPr>
        <w:rPr>
          <w:b/>
          <w:spacing w:val="20"/>
          <w:szCs w:val="21"/>
        </w:rPr>
      </w:pPr>
    </w:p>
    <w:p>
      <w:pPr>
        <w:rPr>
          <w:b/>
          <w:sz w:val="24"/>
        </w:rPr>
      </w:pPr>
      <w:r>
        <w:rPr>
          <w:b/>
          <w:spacing w:val="20"/>
          <w:sz w:val="24"/>
        </w:rPr>
        <w:t>投标文件（商务技术文件）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（商务技术文件）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widowControl/>
        <w:jc w:val="left"/>
        <w:rPr>
          <w:b/>
          <w:sz w:val="24"/>
        </w:rPr>
      </w:pPr>
      <w:r>
        <w:rPr>
          <w:b/>
          <w:sz w:val="24"/>
        </w:rPr>
        <w:br w:type="page"/>
      </w:r>
    </w:p>
    <w:p>
      <w:pPr>
        <w:spacing w:line="360" w:lineRule="auto"/>
        <w:outlineLvl w:val="2"/>
        <w:rPr>
          <w:color w:val="000000"/>
          <w:sz w:val="24"/>
          <w:szCs w:val="20"/>
        </w:rPr>
      </w:pPr>
      <w:bookmarkStart w:id="1009" w:name="_Hlt520273711"/>
      <w:bookmarkEnd w:id="1009"/>
      <w:bookmarkStart w:id="1010" w:name="_Hlt520343392"/>
      <w:bookmarkEnd w:id="1010"/>
      <w:bookmarkStart w:id="1011" w:name="_Hlt520271212"/>
      <w:bookmarkEnd w:id="1011"/>
      <w:bookmarkStart w:id="1012" w:name="_Hlt520355504"/>
      <w:bookmarkEnd w:id="1012"/>
      <w:bookmarkStart w:id="1013" w:name="_Hlt520274121"/>
      <w:bookmarkEnd w:id="1013"/>
      <w:bookmarkStart w:id="1014" w:name="_Hlt520274393"/>
      <w:bookmarkEnd w:id="1014"/>
      <w:bookmarkStart w:id="1015" w:name="_Hlt520350918"/>
      <w:bookmarkEnd w:id="1015"/>
      <w:bookmarkStart w:id="1016" w:name="_Hlt520274407"/>
      <w:bookmarkEnd w:id="1016"/>
      <w:bookmarkStart w:id="1017" w:name="_Hlt520274065"/>
      <w:bookmarkEnd w:id="1017"/>
      <w:bookmarkStart w:id="1018" w:name="_Hlt520343000"/>
      <w:bookmarkEnd w:id="1018"/>
      <w:bookmarkStart w:id="1019" w:name="_Toc480942349"/>
      <w:bookmarkStart w:id="1020" w:name="_Ref467988698"/>
      <w:bookmarkStart w:id="1021" w:name="_Toc226309800"/>
      <w:bookmarkStart w:id="1022" w:name="_Toc142311058"/>
      <w:bookmarkStart w:id="1023" w:name="_Toc150774761"/>
      <w:bookmarkStart w:id="1024" w:name="_Toc150480794"/>
      <w:bookmarkStart w:id="1025" w:name="_Toc195842921"/>
      <w:bookmarkStart w:id="1026" w:name="_Toc226965829"/>
      <w:bookmarkStart w:id="1027" w:name="_Toc226337252"/>
      <w:bookmarkStart w:id="1028" w:name="_Toc127151556"/>
      <w:bookmarkStart w:id="1029" w:name="_Toc520356217"/>
      <w:bookmarkStart w:id="1030" w:name="_Toc226965746"/>
      <w:r>
        <w:rPr>
          <w:color w:val="000000"/>
          <w:sz w:val="24"/>
        </w:rPr>
        <w:t>1</w:t>
      </w:r>
      <w:r>
        <w:rPr>
          <w:color w:val="000000"/>
          <w:sz w:val="24"/>
          <w:szCs w:val="20"/>
        </w:rPr>
        <w:t xml:space="preserve">  </w:t>
      </w:r>
      <w:r>
        <w:rPr>
          <w:color w:val="000000"/>
          <w:sz w:val="24"/>
        </w:rPr>
        <w:t>投标</w:t>
      </w:r>
      <w:bookmarkEnd w:id="1019"/>
      <w:bookmarkEnd w:id="1020"/>
      <w:r>
        <w:rPr>
          <w:color w:val="000000"/>
          <w:sz w:val="24"/>
        </w:rPr>
        <w:t>书</w:t>
      </w:r>
      <w:bookmarkEnd w:id="1021"/>
      <w:bookmarkEnd w:id="1022"/>
      <w:bookmarkEnd w:id="1023"/>
      <w:bookmarkEnd w:id="1024"/>
      <w:bookmarkEnd w:id="1025"/>
      <w:bookmarkEnd w:id="1026"/>
      <w:bookmarkEnd w:id="1027"/>
      <w:bookmarkEnd w:id="1028"/>
      <w:bookmarkEnd w:id="1029"/>
      <w:bookmarkEnd w:id="1030"/>
      <w:r>
        <w:rPr>
          <w:color w:val="000000"/>
          <w:sz w:val="24"/>
          <w:szCs w:val="20"/>
        </w:rPr>
        <w:t>（实质性格式）</w:t>
      </w:r>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投标书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spacing w:line="360" w:lineRule="auto"/>
        <w:ind w:firstLine="480" w:firstLineChars="200"/>
        <w:rPr>
          <w:color w:val="000000"/>
          <w:sz w:val="24"/>
        </w:rPr>
      </w:pPr>
      <w:r>
        <w:rPr>
          <w:color w:val="000000"/>
          <w:sz w:val="24"/>
        </w:rPr>
        <w:t>与本投标有关的一切正式往来信函请寄：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color w:val="000000"/>
          <w:sz w:val="24"/>
        </w:rPr>
      </w:pPr>
      <w:bookmarkStart w:id="1031" w:name="_Hlt520356243"/>
      <w:bookmarkEnd w:id="1031"/>
      <w:bookmarkStart w:id="1032" w:name="_Hlt520355938"/>
      <w:bookmarkEnd w:id="1032"/>
      <w:bookmarkStart w:id="1033" w:name="_Toc142311059"/>
      <w:bookmarkStart w:id="1034" w:name="_Toc150774762"/>
      <w:bookmarkStart w:id="1035" w:name="_Toc226309801"/>
      <w:bookmarkStart w:id="1036" w:name="_Toc195842922"/>
      <w:bookmarkStart w:id="1037" w:name="_Toc127151557"/>
      <w:bookmarkStart w:id="1038" w:name="_Ref467988705"/>
      <w:bookmarkStart w:id="1039" w:name="_Toc264969247"/>
      <w:bookmarkStart w:id="1040" w:name="_Toc226965830"/>
      <w:bookmarkStart w:id="1041" w:name="_Toc305158825"/>
      <w:bookmarkStart w:id="1042" w:name="_Toc226965747"/>
      <w:bookmarkStart w:id="1043" w:name="_Toc305158899"/>
      <w:bookmarkStart w:id="1044" w:name="_Toc265228395"/>
      <w:bookmarkStart w:id="1045" w:name="_Toc226337253"/>
      <w:bookmarkStart w:id="1046" w:name="_Toc480942350"/>
      <w:bookmarkStart w:id="1047" w:name="_Toc520356218"/>
      <w:bookmarkStart w:id="1048" w:name="_Toc150480795"/>
      <w:r>
        <w:rPr>
          <w:color w:val="000000"/>
          <w:sz w:val="24"/>
        </w:rPr>
        <w:br w:type="page"/>
      </w:r>
    </w:p>
    <w:p>
      <w:pPr>
        <w:spacing w:line="360" w:lineRule="auto"/>
        <w:outlineLvl w:val="2"/>
        <w:rPr>
          <w:color w:val="000000"/>
          <w:sz w:val="24"/>
        </w:rPr>
      </w:pPr>
      <w:r>
        <w:rPr>
          <w:color w:val="000000"/>
          <w:sz w:val="24"/>
        </w:rPr>
        <w:t>2  授权委托书（实质性格式）</w:t>
      </w:r>
    </w:p>
    <w:p>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pPr>
        <w:spacing w:line="360" w:lineRule="auto"/>
        <w:ind w:firstLine="420"/>
        <w:rPr>
          <w:rFonts w:ascii="宋体" w:hAnsi="宋体"/>
          <w:color w:val="000000"/>
          <w:sz w:val="24"/>
          <w:szCs w:val="20"/>
        </w:rPr>
      </w:pPr>
    </w:p>
    <w:p>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项目</w:t>
      </w:r>
      <w:r>
        <w:rPr>
          <w:rFonts w:ascii="宋体" w:hAnsi="宋体"/>
          <w:color w:val="000000"/>
          <w:sz w:val="24"/>
          <w:szCs w:val="20"/>
        </w:rPr>
        <w:t>名称）</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spacing w:line="360" w:lineRule="auto"/>
        <w:rPr>
          <w:rFonts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ascii="宋体" w:hAnsi="宋体"/>
          <w:color w:val="000000"/>
          <w:sz w:val="24"/>
          <w:szCs w:val="20"/>
        </w:rPr>
        <w:t>：</w:t>
      </w:r>
      <w:r>
        <w:rPr>
          <w:rFonts w:ascii="宋体" w:hAnsi="宋体"/>
          <w:color w:val="000000"/>
          <w:sz w:val="24"/>
          <w:lang w:val="zh-CN"/>
        </w:rPr>
        <w:t>________________</w:t>
      </w: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lang w:val="en-US" w:eastAsia="zh-CN"/>
        </w:rPr>
        <w:t>或</w:t>
      </w:r>
      <w:r>
        <w:rPr>
          <w:rFonts w:hint="eastAsia" w:ascii="宋体" w:hAnsi="宋体"/>
          <w:color w:val="000000"/>
          <w:sz w:val="24"/>
        </w:rPr>
        <w:t>签章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tabs>
          <w:tab w:val="left" w:pos="5580"/>
        </w:tabs>
        <w:spacing w:line="360" w:lineRule="auto"/>
        <w:ind w:firstLine="480" w:firstLineChars="200"/>
        <w:rPr>
          <w:rFonts w:ascii="宋体" w:hAnsi="宋体"/>
          <w:color w:val="000000"/>
          <w:sz w:val="24"/>
          <w:szCs w:val="20"/>
        </w:rPr>
      </w:pPr>
    </w:p>
    <w:p>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招标</w:t>
      </w:r>
      <w:r>
        <w:rPr>
          <w:rFonts w:ascii="宋体" w:hAnsi="宋体"/>
          <w:color w:val="000000"/>
          <w:sz w:val="24"/>
          <w:szCs w:val="20"/>
        </w:rPr>
        <w:t>文件注明允许分支机构</w:t>
      </w:r>
      <w:r>
        <w:rPr>
          <w:rFonts w:hint="eastAsia" w:ascii="宋体" w:hAnsi="宋体"/>
          <w:color w:val="000000"/>
          <w:sz w:val="24"/>
          <w:szCs w:val="20"/>
        </w:rPr>
        <w:t>投标</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w:t>
      </w:r>
      <w:r>
        <w:rPr>
          <w:rFonts w:ascii="宋体" w:hAnsi="宋体"/>
          <w:color w:val="000000"/>
          <w:sz w:val="24"/>
          <w:szCs w:val="20"/>
        </w:rPr>
        <w:t>（实质性格式）。</w:t>
      </w:r>
    </w:p>
    <w:p>
      <w:pPr>
        <w:tabs>
          <w:tab w:val="left" w:pos="5580"/>
        </w:tabs>
        <w:spacing w:line="360" w:lineRule="auto"/>
        <w:jc w:val="left"/>
        <w:rPr>
          <w:rFonts w:ascii="宋体" w:hAnsi="宋体"/>
          <w:color w:val="000000"/>
          <w:sz w:val="30"/>
          <w:szCs w:val="30"/>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r>
        <w:rPr>
          <w:rFonts w:ascii="宋体" w:hAnsi="宋体"/>
          <w:color w:val="000000"/>
          <w:sz w:val="30"/>
          <w:szCs w:val="30"/>
        </w:rPr>
        <w:br w:type="page"/>
      </w:r>
    </w:p>
    <w:p>
      <w:pPr>
        <w:spacing w:line="360" w:lineRule="exact"/>
        <w:jc w:val="center"/>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pPr>
        <w:kinsoku w:val="0"/>
        <w:overflowPunct w:val="0"/>
        <w:spacing w:line="200" w:lineRule="exact"/>
        <w:rPr>
          <w:rFonts w:ascii="宋体" w:hAnsi="宋体"/>
          <w:sz w:val="20"/>
          <w:szCs w:val="20"/>
        </w:rPr>
      </w:pPr>
    </w:p>
    <w:p>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采购人或</w:t>
      </w:r>
      <w:r>
        <w:rPr>
          <w:rFonts w:ascii="宋体" w:hAnsi="宋体"/>
          <w:color w:val="000000"/>
          <w:sz w:val="24"/>
          <w:u w:val="single"/>
        </w:rPr>
        <w:t>采购代理机构）</w:t>
      </w:r>
    </w:p>
    <w:p>
      <w:pPr>
        <w:pStyle w:val="18"/>
        <w:tabs>
          <w:tab w:val="left" w:pos="2412"/>
          <w:tab w:val="left" w:pos="3883"/>
          <w:tab w:val="left" w:pos="5352"/>
          <w:tab w:val="left" w:pos="6821"/>
        </w:tabs>
        <w:kinsoku w:val="0"/>
        <w:overflowPunct w:val="0"/>
        <w:spacing w:line="335" w:lineRule="exact"/>
        <w:ind w:firstLine="480" w:firstLineChars="200"/>
      </w:pPr>
      <w:r>
        <w:rPr>
          <w:rFonts w:hint="eastAsia"/>
        </w:rPr>
        <w:t>兹证明，</w:t>
      </w:r>
    </w:p>
    <w:p>
      <w:pPr>
        <w:pStyle w:val="18"/>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pPr>
        <w:pStyle w:val="18"/>
        <w:tabs>
          <w:tab w:val="left" w:pos="2412"/>
          <w:tab w:val="left" w:pos="3883"/>
          <w:tab w:val="left" w:pos="5352"/>
          <w:tab w:val="left" w:pos="6821"/>
        </w:tabs>
        <w:kinsoku w:val="0"/>
        <w:overflowPunct w:val="0"/>
        <w:spacing w:line="335" w:lineRule="exact"/>
      </w:pPr>
    </w:p>
    <w:p>
      <w:pPr>
        <w:pStyle w:val="18"/>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投标人</w:t>
      </w:r>
      <w:r>
        <w:t>名称）的法定代表人（单位负责人）。</w:t>
      </w:r>
    </w:p>
    <w:p>
      <w:pPr>
        <w:pStyle w:val="18"/>
        <w:tabs>
          <w:tab w:val="left" w:pos="2412"/>
          <w:tab w:val="left" w:pos="3883"/>
          <w:tab w:val="left" w:pos="5352"/>
          <w:tab w:val="left" w:pos="6821"/>
        </w:tabs>
        <w:kinsoku w:val="0"/>
        <w:overflowPunct w:val="0"/>
        <w:spacing w:line="335" w:lineRule="exact"/>
      </w:pPr>
    </w:p>
    <w:p>
      <w:pPr>
        <w:pStyle w:val="18"/>
        <w:tabs>
          <w:tab w:val="left" w:pos="2412"/>
          <w:tab w:val="left" w:pos="3883"/>
          <w:tab w:val="left" w:pos="5352"/>
          <w:tab w:val="left" w:pos="6821"/>
        </w:tabs>
        <w:kinsoku w:val="0"/>
        <w:overflowPunct w:val="0"/>
        <w:spacing w:line="335" w:lineRule="exact"/>
      </w:pPr>
    </w:p>
    <w:p>
      <w:pPr>
        <w:pStyle w:val="18"/>
        <w:tabs>
          <w:tab w:val="left" w:pos="2412"/>
          <w:tab w:val="left" w:pos="3883"/>
          <w:tab w:val="left" w:pos="5352"/>
          <w:tab w:val="left" w:pos="6821"/>
        </w:tabs>
        <w:kinsoku w:val="0"/>
        <w:overflowPunct w:val="0"/>
        <w:spacing w:line="335" w:lineRule="exact"/>
      </w:pPr>
    </w:p>
    <w:p>
      <w:pPr>
        <w:pStyle w:val="18"/>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pStyle w:val="18"/>
        <w:kinsoku w:val="0"/>
        <w:overflowPunct w:val="0"/>
        <w:spacing w:line="583" w:lineRule="auto"/>
        <w:ind w:right="4305"/>
        <w:rPr>
          <w:spacing w:val="-3"/>
        </w:rPr>
      </w:pPr>
    </w:p>
    <w:p>
      <w:pPr>
        <w:pStyle w:val="18"/>
        <w:kinsoku w:val="0"/>
        <w:overflowPunct w:val="0"/>
        <w:spacing w:line="583" w:lineRule="auto"/>
        <w:ind w:right="4305"/>
        <w:rPr>
          <w:spacing w:val="-3"/>
        </w:rPr>
      </w:pP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pStyle w:val="18"/>
        <w:kinsoku w:val="0"/>
        <w:overflowPunct w:val="0"/>
        <w:spacing w:line="583" w:lineRule="auto"/>
        <w:ind w:right="95"/>
        <w:rPr>
          <w:spacing w:val="-3"/>
        </w:rPr>
      </w:pPr>
      <w:r>
        <w:rPr>
          <w:rFonts w:hint="eastAsia"/>
          <w:spacing w:val="-3"/>
        </w:rPr>
        <w:t>法定代表人（</w:t>
      </w:r>
      <w:r>
        <w:t>单位负责人</w:t>
      </w:r>
      <w:r>
        <w:rPr>
          <w:rFonts w:hint="eastAsia"/>
          <w:spacing w:val="-3"/>
        </w:rPr>
        <w:t>）（签字</w:t>
      </w:r>
      <w:r>
        <w:rPr>
          <w:rFonts w:hint="eastAsia"/>
          <w:spacing w:val="-3"/>
          <w:lang w:val="en-US" w:eastAsia="zh-CN"/>
        </w:rPr>
        <w:t>或</w:t>
      </w:r>
      <w:r>
        <w:rPr>
          <w:rFonts w:hint="eastAsia"/>
          <w:spacing w:val="-3"/>
        </w:rPr>
        <w:t>签章）：_</w:t>
      </w:r>
      <w:r>
        <w:rPr>
          <w:spacing w:val="-3"/>
        </w:rPr>
        <w:t>______</w:t>
      </w:r>
    </w:p>
    <w:p>
      <w:pPr>
        <w:autoSpaceDE w:val="0"/>
        <w:autoSpaceDN w:val="0"/>
        <w:adjustRightInd w:val="0"/>
        <w:snapToGrid w:val="0"/>
        <w:spacing w:line="360" w:lineRule="auto"/>
        <w:rPr>
          <w:rFonts w:ascii="宋体" w:hAnsi="宋体"/>
          <w:color w:val="000000"/>
          <w:sz w:val="24"/>
        </w:rPr>
      </w:pP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widowControl/>
        <w:jc w:val="left"/>
        <w:rPr>
          <w:rFonts w:ascii="宋体" w:hAnsi="宋体"/>
          <w:i/>
          <w:color w:val="000000"/>
          <w:sz w:val="24"/>
          <w:szCs w:val="20"/>
          <w:u w:val="single"/>
        </w:rPr>
      </w:pPr>
    </w:p>
    <w:p>
      <w:pPr>
        <w:widowControl/>
        <w:jc w:val="left"/>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3  开标一览表</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Pr>
          <w:color w:val="000000"/>
          <w:sz w:val="24"/>
          <w:szCs w:val="20"/>
        </w:rPr>
        <w:t>（实质性格式）</w:t>
      </w:r>
    </w:p>
    <w:p>
      <w:pPr>
        <w:spacing w:line="360" w:lineRule="exact"/>
        <w:jc w:val="center"/>
        <w:rPr>
          <w:b/>
          <w:color w:val="000000"/>
          <w:sz w:val="36"/>
          <w:szCs w:val="36"/>
        </w:rPr>
      </w:pPr>
      <w:bookmarkStart w:id="1049" w:name="_Toc195842923"/>
      <w:bookmarkStart w:id="1050" w:name="_Toc305158826"/>
      <w:bookmarkStart w:id="1051" w:name="_Toc264969248"/>
      <w:bookmarkStart w:id="1052" w:name="_Toc265228396"/>
      <w:bookmarkStart w:id="1053" w:name="_Toc226965748"/>
      <w:bookmarkStart w:id="1054" w:name="_Toc226309802"/>
      <w:bookmarkStart w:id="1055" w:name="_Toc305158900"/>
      <w:bookmarkStart w:id="1056" w:name="_Toc164608827"/>
      <w:bookmarkStart w:id="1057" w:name="_Toc226337254"/>
      <w:bookmarkStart w:id="1058" w:name="_Toc164608672"/>
      <w:bookmarkStart w:id="1059" w:name="_Toc226965831"/>
      <w:r>
        <w:rPr>
          <w:rFonts w:hint="eastAsia"/>
          <w:b/>
          <w:color w:val="000000"/>
          <w:sz w:val="36"/>
          <w:szCs w:val="36"/>
        </w:rPr>
        <w:t>开标一览表</w:t>
      </w:r>
      <w:bookmarkEnd w:id="1049"/>
      <w:bookmarkEnd w:id="1050"/>
      <w:bookmarkEnd w:id="1051"/>
      <w:bookmarkEnd w:id="1052"/>
      <w:bookmarkEnd w:id="1053"/>
      <w:bookmarkEnd w:id="1054"/>
      <w:bookmarkEnd w:id="1055"/>
      <w:bookmarkEnd w:id="1056"/>
      <w:bookmarkEnd w:id="1057"/>
      <w:bookmarkEnd w:id="1058"/>
      <w:bookmarkEnd w:id="1059"/>
    </w:p>
    <w:p>
      <w:pPr>
        <w:tabs>
          <w:tab w:val="left" w:pos="1800"/>
          <w:tab w:val="left" w:pos="5580"/>
        </w:tabs>
        <w:spacing w:line="360" w:lineRule="auto"/>
        <w:jc w:val="left"/>
        <w:rPr>
          <w:i/>
          <w:color w:val="FF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项目编号/包号：_____________________     项目名称：____________</w:t>
      </w:r>
    </w:p>
    <w:tbl>
      <w:tblPr>
        <w:tblStyle w:val="4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b/>
                <w:sz w:val="24"/>
              </w:rPr>
            </w:pPr>
            <w:r>
              <w:rPr>
                <w:b/>
                <w:sz w:val="24"/>
              </w:rPr>
              <w:t>序号</w:t>
            </w:r>
          </w:p>
        </w:tc>
        <w:tc>
          <w:tcPr>
            <w:tcW w:w="2215" w:type="pct"/>
            <w:vMerge w:val="restart"/>
            <w:vAlign w:val="center"/>
          </w:tcPr>
          <w:p>
            <w:pPr>
              <w:tabs>
                <w:tab w:val="left" w:pos="5580"/>
              </w:tabs>
              <w:jc w:val="center"/>
              <w:rPr>
                <w:b/>
                <w:sz w:val="24"/>
              </w:rPr>
            </w:pPr>
            <w:r>
              <w:rPr>
                <w:b/>
                <w:sz w:val="24"/>
              </w:rPr>
              <w:t>投标人名称</w:t>
            </w:r>
          </w:p>
        </w:tc>
        <w:tc>
          <w:tcPr>
            <w:tcW w:w="2373" w:type="pct"/>
            <w:gridSpan w:val="2"/>
            <w:vAlign w:val="center"/>
          </w:tcPr>
          <w:p>
            <w:pPr>
              <w:tabs>
                <w:tab w:val="left" w:pos="5580"/>
              </w:tabs>
              <w:jc w:val="center"/>
              <w:rPr>
                <w:b/>
                <w:sz w:val="24"/>
              </w:rPr>
            </w:pPr>
            <w:r>
              <w:rPr>
                <w:rFonts w:hint="eastAsia"/>
                <w:b/>
                <w:sz w:val="24"/>
              </w:rPr>
              <w:t>总</w:t>
            </w:r>
            <w:r>
              <w:rPr>
                <w:b/>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sz w:val="24"/>
              </w:rPr>
            </w:pPr>
          </w:p>
        </w:tc>
        <w:tc>
          <w:tcPr>
            <w:tcW w:w="2215" w:type="pct"/>
            <w:vMerge w:val="continue"/>
            <w:vAlign w:val="center"/>
          </w:tcPr>
          <w:p>
            <w:pPr>
              <w:tabs>
                <w:tab w:val="left" w:pos="5580"/>
              </w:tabs>
              <w:jc w:val="center"/>
              <w:rPr>
                <w:sz w:val="24"/>
              </w:rPr>
            </w:pPr>
          </w:p>
        </w:tc>
        <w:tc>
          <w:tcPr>
            <w:tcW w:w="1188" w:type="pct"/>
            <w:vAlign w:val="center"/>
          </w:tcPr>
          <w:p>
            <w:pPr>
              <w:tabs>
                <w:tab w:val="left" w:pos="5580"/>
              </w:tabs>
              <w:jc w:val="center"/>
              <w:rPr>
                <w:b/>
                <w:sz w:val="24"/>
              </w:rPr>
            </w:pPr>
            <w:r>
              <w:rPr>
                <w:b/>
                <w:sz w:val="24"/>
              </w:rPr>
              <w:t>大写</w:t>
            </w:r>
          </w:p>
        </w:tc>
        <w:tc>
          <w:tcPr>
            <w:tcW w:w="1182" w:type="pct"/>
            <w:vAlign w:val="center"/>
          </w:tcPr>
          <w:p>
            <w:pPr>
              <w:tabs>
                <w:tab w:val="left" w:pos="5580"/>
              </w:tabs>
              <w:jc w:val="center"/>
              <w:rPr>
                <w:b/>
                <w:sz w:val="24"/>
              </w:rPr>
            </w:pPr>
            <w:r>
              <w:rPr>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sz w:val="24"/>
              </w:rPr>
            </w:pPr>
          </w:p>
        </w:tc>
        <w:tc>
          <w:tcPr>
            <w:tcW w:w="2215" w:type="pct"/>
            <w:vAlign w:val="center"/>
          </w:tcPr>
          <w:p>
            <w:pPr>
              <w:tabs>
                <w:tab w:val="left" w:pos="5580"/>
              </w:tabs>
              <w:jc w:val="center"/>
              <w:rPr>
                <w:sz w:val="24"/>
              </w:rPr>
            </w:pPr>
          </w:p>
        </w:tc>
        <w:tc>
          <w:tcPr>
            <w:tcW w:w="1188" w:type="pct"/>
            <w:vAlign w:val="center"/>
          </w:tcPr>
          <w:p>
            <w:pPr>
              <w:tabs>
                <w:tab w:val="left" w:pos="5580"/>
              </w:tabs>
              <w:jc w:val="center"/>
              <w:rPr>
                <w:sz w:val="24"/>
              </w:rPr>
            </w:pPr>
          </w:p>
        </w:tc>
        <w:tc>
          <w:tcPr>
            <w:tcW w:w="1182" w:type="pct"/>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widowControl/>
        <w:jc w:val="left"/>
        <w:rPr>
          <w:color w:val="000000"/>
          <w:sz w:val="24"/>
          <w:szCs w:val="20"/>
        </w:rPr>
      </w:pPr>
      <w:bookmarkStart w:id="1060" w:name="_Toc195842924"/>
      <w:bookmarkStart w:id="1061" w:name="_Toc305158827"/>
      <w:bookmarkStart w:id="1062" w:name="_Toc226309803"/>
      <w:bookmarkStart w:id="1063" w:name="_Toc142311060"/>
      <w:bookmarkStart w:id="1064" w:name="_Toc150480796"/>
      <w:bookmarkStart w:id="1065" w:name="_Toc264969249"/>
      <w:bookmarkStart w:id="1066" w:name="_Toc305158901"/>
      <w:bookmarkStart w:id="1067" w:name="_Toc127151558"/>
      <w:bookmarkStart w:id="1068" w:name="_Toc150774763"/>
      <w:bookmarkStart w:id="1069" w:name="_Toc226337255"/>
      <w:bookmarkStart w:id="1070" w:name="_Toc226965832"/>
      <w:bookmarkStart w:id="1071" w:name="_Toc226965749"/>
      <w:bookmarkStart w:id="1072" w:name="_Toc265228397"/>
      <w:r>
        <w:rPr>
          <w:color w:val="000000"/>
          <w:sz w:val="24"/>
          <w:szCs w:val="20"/>
        </w:rPr>
        <w:br w:type="page"/>
      </w:r>
    </w:p>
    <w:p>
      <w:pPr>
        <w:spacing w:line="360" w:lineRule="auto"/>
        <w:outlineLvl w:val="2"/>
        <w:rPr>
          <w:color w:val="000000"/>
          <w:sz w:val="24"/>
          <w:szCs w:val="20"/>
        </w:rPr>
      </w:pPr>
      <w:r>
        <w:rPr>
          <w:color w:val="000000"/>
          <w:sz w:val="24"/>
          <w:szCs w:val="20"/>
        </w:rPr>
        <w:t>4  投标分项报价表</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r>
        <w:rPr>
          <w:color w:val="000000"/>
          <w:sz w:val="24"/>
          <w:szCs w:val="20"/>
        </w:rPr>
        <w:t>（实质性格式）</w:t>
      </w:r>
    </w:p>
    <w:p>
      <w:pPr>
        <w:spacing w:line="360" w:lineRule="exact"/>
        <w:jc w:val="center"/>
        <w:rPr>
          <w:color w:val="000000"/>
          <w:sz w:val="36"/>
          <w:szCs w:val="36"/>
        </w:rPr>
      </w:pPr>
    </w:p>
    <w:p>
      <w:pPr>
        <w:spacing w:line="360" w:lineRule="exact"/>
        <w:jc w:val="center"/>
        <w:rPr>
          <w:b/>
          <w:color w:val="000000"/>
          <w:sz w:val="36"/>
          <w:szCs w:val="36"/>
        </w:rPr>
      </w:pPr>
      <w:r>
        <w:rPr>
          <w:rFonts w:hint="eastAsia"/>
          <w:b/>
          <w:color w:val="000000"/>
          <w:sz w:val="36"/>
          <w:szCs w:val="36"/>
        </w:rPr>
        <w:t>投标分项报价表</w:t>
      </w:r>
    </w:p>
    <w:p>
      <w:pPr>
        <w:spacing w:line="260" w:lineRule="exact"/>
        <w:jc w:val="center"/>
        <w:rPr>
          <w:color w:val="000000"/>
          <w:sz w:val="36"/>
          <w:szCs w:val="36"/>
        </w:rPr>
      </w:pPr>
    </w:p>
    <w:p>
      <w:pPr>
        <w:tabs>
          <w:tab w:val="left" w:pos="1800"/>
          <w:tab w:val="left" w:pos="5580"/>
        </w:tabs>
        <w:rPr>
          <w:color w:val="000000"/>
          <w:sz w:val="24"/>
        </w:rPr>
      </w:pPr>
      <w:r>
        <w:rPr>
          <w:rFonts w:hint="eastAsia"/>
          <w:color w:val="000000"/>
          <w:sz w:val="24"/>
        </w:rPr>
        <w:t>项目编号</w:t>
      </w:r>
      <w:r>
        <w:rPr>
          <w:color w:val="000000"/>
          <w:sz w:val="24"/>
        </w:rPr>
        <w:t>/</w:t>
      </w:r>
      <w:r>
        <w:rPr>
          <w:rFonts w:hint="eastAsia"/>
          <w:color w:val="000000"/>
          <w:sz w:val="24"/>
        </w:rPr>
        <w:t>包号：</w:t>
      </w:r>
      <w:r>
        <w:rPr>
          <w:color w:val="000000"/>
          <w:sz w:val="24"/>
        </w:rPr>
        <w:t xml:space="preserve">________ </w:t>
      </w:r>
      <w:r>
        <w:rPr>
          <w:rFonts w:hint="eastAsia"/>
          <w:color w:val="000000"/>
          <w:sz w:val="24"/>
        </w:rPr>
        <w:t>项目名称：</w:t>
      </w:r>
      <w:r>
        <w:rPr>
          <w:color w:val="000000"/>
          <w:sz w:val="24"/>
        </w:rPr>
        <w:t>__________</w:t>
      </w:r>
      <w:r>
        <w:rPr>
          <w:rFonts w:hint="eastAsia"/>
          <w:color w:val="000000"/>
          <w:sz w:val="24"/>
        </w:rPr>
        <w:t>报价单位：人民币元</w:t>
      </w:r>
    </w:p>
    <w:tbl>
      <w:tblPr>
        <w:tblStyle w:val="42"/>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944"/>
        <w:gridCol w:w="1365"/>
        <w:gridCol w:w="1278"/>
        <w:gridCol w:w="1518"/>
        <w:gridCol w:w="1055"/>
        <w:gridCol w:w="518"/>
        <w:gridCol w:w="13"/>
        <w:gridCol w:w="104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4" w:hRule="atLeast"/>
          <w:jc w:val="center"/>
        </w:trPr>
        <w:tc>
          <w:tcPr>
            <w:tcW w:w="2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color w:val="000000"/>
                <w:sz w:val="24"/>
              </w:rPr>
            </w:pPr>
            <w:r>
              <w:rPr>
                <w:rFonts w:hint="eastAsia"/>
                <w:b/>
                <w:color w:val="000000"/>
                <w:sz w:val="24"/>
              </w:rPr>
              <w:t>序号</w:t>
            </w:r>
          </w:p>
        </w:tc>
        <w:tc>
          <w:tcPr>
            <w:tcW w:w="10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color w:val="000000"/>
                <w:sz w:val="24"/>
              </w:rPr>
            </w:pPr>
            <w:r>
              <w:rPr>
                <w:rFonts w:hint="eastAsia"/>
                <w:b/>
                <w:color w:val="000000"/>
                <w:sz w:val="24"/>
              </w:rPr>
              <w:t>分项名称</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color w:val="000000"/>
                <w:sz w:val="24"/>
              </w:rPr>
            </w:pPr>
            <w:r>
              <w:rPr>
                <w:rFonts w:hint="eastAsia"/>
                <w:b/>
                <w:color w:val="000000"/>
                <w:sz w:val="24"/>
              </w:rPr>
              <w:t>制造商</w:t>
            </w:r>
            <w:r>
              <w:rPr>
                <w:b/>
                <w:color w:val="000000"/>
                <w:sz w:val="24"/>
              </w:rPr>
              <w:t>/</w:t>
            </w:r>
          </w:p>
          <w:p>
            <w:pPr>
              <w:adjustRightInd w:val="0"/>
              <w:snapToGrid w:val="0"/>
              <w:jc w:val="left"/>
              <w:rPr>
                <w:b/>
                <w:color w:val="000000"/>
                <w:sz w:val="24"/>
              </w:rPr>
            </w:pPr>
            <w:r>
              <w:rPr>
                <w:rFonts w:hint="eastAsia"/>
                <w:b/>
                <w:color w:val="000000"/>
                <w:sz w:val="24"/>
              </w:rPr>
              <w:t>生产厂家</w:t>
            </w:r>
          </w:p>
        </w:tc>
        <w:tc>
          <w:tcPr>
            <w:tcW w:w="6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color w:val="000000"/>
                <w:sz w:val="24"/>
              </w:rPr>
            </w:pPr>
            <w:r>
              <w:rPr>
                <w:rFonts w:hint="eastAsia"/>
                <w:b/>
                <w:color w:val="000000"/>
                <w:sz w:val="24"/>
              </w:rPr>
              <w:t>产地</w:t>
            </w:r>
          </w:p>
        </w:tc>
        <w:tc>
          <w:tcPr>
            <w:tcW w:w="82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color w:val="000000"/>
                <w:sz w:val="24"/>
              </w:rPr>
            </w:pPr>
            <w:r>
              <w:rPr>
                <w:rFonts w:hint="eastAsia"/>
                <w:b/>
                <w:color w:val="000000"/>
                <w:sz w:val="24"/>
              </w:rPr>
              <w:t>品牌、规格、型号</w:t>
            </w:r>
          </w:p>
        </w:tc>
        <w:tc>
          <w:tcPr>
            <w:tcW w:w="5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color w:val="000000"/>
                <w:sz w:val="24"/>
              </w:rPr>
            </w:pPr>
            <w:r>
              <w:rPr>
                <w:rFonts w:hint="eastAsia"/>
                <w:b/>
                <w:color w:val="000000"/>
                <w:sz w:val="24"/>
              </w:rPr>
              <w:t>单价（元）</w:t>
            </w:r>
          </w:p>
        </w:tc>
        <w:tc>
          <w:tcPr>
            <w:tcW w:w="2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color w:val="000000"/>
                <w:sz w:val="24"/>
              </w:rPr>
            </w:pPr>
            <w:r>
              <w:rPr>
                <w:rFonts w:hint="eastAsia"/>
                <w:b/>
                <w:color w:val="000000"/>
                <w:sz w:val="24"/>
              </w:rPr>
              <w:t>数量</w:t>
            </w:r>
          </w:p>
        </w:tc>
        <w:tc>
          <w:tcPr>
            <w:tcW w:w="572"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color w:val="000000"/>
                <w:sz w:val="24"/>
              </w:rPr>
            </w:pPr>
            <w:r>
              <w:rPr>
                <w:rFonts w:hint="eastAsia"/>
                <w:b/>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r>
              <w:rPr>
                <w:color w:val="000000"/>
                <w:sz w:val="24"/>
              </w:rPr>
              <w:t>1</w:t>
            </w:r>
          </w:p>
        </w:tc>
        <w:tc>
          <w:tcPr>
            <w:tcW w:w="1050" w:type="pct"/>
            <w:tcBorders>
              <w:top w:val="single" w:color="auto" w:sz="4" w:space="0"/>
              <w:left w:val="single" w:color="auto" w:sz="4" w:space="0"/>
              <w:bottom w:val="single" w:color="auto" w:sz="4" w:space="0"/>
              <w:right w:val="single" w:color="auto" w:sz="4" w:space="0"/>
            </w:tcBorders>
          </w:tcP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690" w:type="pct"/>
            <w:tcBorders>
              <w:top w:val="single" w:color="auto" w:sz="4" w:space="0"/>
              <w:left w:val="single" w:color="auto" w:sz="4" w:space="0"/>
              <w:bottom w:val="single" w:color="auto" w:sz="4" w:space="0"/>
              <w:right w:val="single" w:color="auto" w:sz="4" w:space="0"/>
            </w:tcBorders>
          </w:tcPr>
          <w:p>
            <w:pPr>
              <w:adjustRightInd w:val="0"/>
              <w:snapToGrid w:val="0"/>
              <w:jc w:val="left"/>
              <w:rPr>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5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2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r>
              <w:rPr>
                <w:color w:val="000000"/>
                <w:sz w:val="24"/>
              </w:rPr>
              <w:t>2</w:t>
            </w:r>
          </w:p>
        </w:tc>
        <w:tc>
          <w:tcPr>
            <w:tcW w:w="1050" w:type="pct"/>
            <w:tcBorders>
              <w:top w:val="single" w:color="auto" w:sz="4" w:space="0"/>
              <w:left w:val="single" w:color="auto" w:sz="4" w:space="0"/>
              <w:bottom w:val="single" w:color="auto" w:sz="4" w:space="0"/>
              <w:right w:val="single" w:color="auto" w:sz="4" w:space="0"/>
            </w:tcBorders>
          </w:tcP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690" w:type="pct"/>
            <w:tcBorders>
              <w:top w:val="single" w:color="auto" w:sz="4" w:space="0"/>
              <w:left w:val="single" w:color="auto" w:sz="4" w:space="0"/>
              <w:bottom w:val="single" w:color="auto" w:sz="4" w:space="0"/>
              <w:right w:val="single" w:color="auto" w:sz="4" w:space="0"/>
            </w:tcBorders>
          </w:tcPr>
          <w:p>
            <w:pPr>
              <w:adjustRightInd w:val="0"/>
              <w:snapToGrid w:val="0"/>
              <w:jc w:val="left"/>
              <w:rPr>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5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2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r>
              <w:rPr>
                <w:color w:val="000000"/>
                <w:sz w:val="24"/>
              </w:rPr>
              <w:t>3</w:t>
            </w:r>
          </w:p>
        </w:tc>
        <w:tc>
          <w:tcPr>
            <w:tcW w:w="10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690" w:type="pct"/>
            <w:tcBorders>
              <w:top w:val="single" w:color="auto" w:sz="4" w:space="0"/>
              <w:left w:val="single" w:color="auto" w:sz="4" w:space="0"/>
              <w:bottom w:val="single" w:color="auto" w:sz="4" w:space="0"/>
              <w:right w:val="single" w:color="auto" w:sz="4" w:space="0"/>
            </w:tcBorders>
          </w:tcPr>
          <w:p>
            <w:pPr>
              <w:adjustRightInd w:val="0"/>
              <w:snapToGrid w:val="0"/>
              <w:jc w:val="left"/>
              <w:rPr>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5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2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r>
              <w:rPr>
                <w:color w:val="000000"/>
                <w:sz w:val="24"/>
              </w:rPr>
              <w:t>4</w:t>
            </w:r>
          </w:p>
        </w:tc>
        <w:tc>
          <w:tcPr>
            <w:tcW w:w="10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690" w:type="pct"/>
            <w:tcBorders>
              <w:top w:val="single" w:color="auto" w:sz="4" w:space="0"/>
              <w:left w:val="single" w:color="auto" w:sz="4" w:space="0"/>
              <w:bottom w:val="single" w:color="auto" w:sz="4" w:space="0"/>
              <w:right w:val="single" w:color="auto" w:sz="4" w:space="0"/>
            </w:tcBorders>
          </w:tcPr>
          <w:p>
            <w:pPr>
              <w:adjustRightInd w:val="0"/>
              <w:snapToGrid w:val="0"/>
              <w:jc w:val="left"/>
              <w:rPr>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5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2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r>
              <w:rPr>
                <w:color w:val="000000"/>
                <w:sz w:val="24"/>
              </w:rPr>
              <w:t>…</w:t>
            </w:r>
          </w:p>
        </w:tc>
        <w:tc>
          <w:tcPr>
            <w:tcW w:w="105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690" w:type="pct"/>
            <w:tcBorders>
              <w:top w:val="single" w:color="auto" w:sz="4" w:space="0"/>
              <w:left w:val="single" w:color="auto" w:sz="4" w:space="0"/>
              <w:bottom w:val="single" w:color="auto" w:sz="4" w:space="0"/>
              <w:right w:val="single" w:color="auto" w:sz="4" w:space="0"/>
            </w:tcBorders>
          </w:tcPr>
          <w:p>
            <w:pPr>
              <w:adjustRightInd w:val="0"/>
              <w:snapToGrid w:val="0"/>
              <w:jc w:val="left"/>
              <w:rPr>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5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2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c>
          <w:tcPr>
            <w:tcW w:w="572"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1" w:type="pct"/>
            <w:gridSpan w:val="8"/>
            <w:tcBorders>
              <w:top w:val="single" w:color="auto" w:sz="4" w:space="0"/>
              <w:left w:val="single" w:color="auto" w:sz="4" w:space="0"/>
              <w:bottom w:val="single" w:color="auto" w:sz="4" w:space="0"/>
              <w:right w:val="single" w:color="auto" w:sz="4" w:space="0"/>
            </w:tcBorders>
          </w:tcPr>
          <w:p>
            <w:pPr>
              <w:jc w:val="right"/>
              <w:rPr>
                <w:b/>
                <w:sz w:val="24"/>
              </w:rPr>
            </w:pPr>
            <w:r>
              <w:rPr>
                <w:rFonts w:hint="eastAsia"/>
                <w:b/>
                <w:sz w:val="24"/>
              </w:rPr>
              <w:t>总价（元）</w:t>
            </w:r>
          </w:p>
        </w:tc>
        <w:tc>
          <w:tcPr>
            <w:tcW w:w="569"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color w:val="000000"/>
          <w:sz w:val="24"/>
          <w:szCs w:val="20"/>
        </w:rPr>
      </w:pPr>
      <w:bookmarkStart w:id="1073" w:name="_Toc305158904"/>
      <w:bookmarkStart w:id="1074" w:name="_Toc142311062"/>
      <w:bookmarkStart w:id="1075" w:name="_Toc195842927"/>
      <w:bookmarkStart w:id="1076" w:name="_Toc226965752"/>
      <w:bookmarkStart w:id="1077" w:name="_Toc305158830"/>
      <w:bookmarkStart w:id="1078" w:name="_Toc226337258"/>
      <w:bookmarkStart w:id="1079" w:name="_Toc264969252"/>
      <w:bookmarkStart w:id="1080" w:name="_Toc150774765"/>
      <w:bookmarkStart w:id="1081" w:name="_Toc265228400"/>
      <w:bookmarkStart w:id="1082" w:name="_Toc150480798"/>
      <w:bookmarkStart w:id="1083" w:name="_Toc226309806"/>
      <w:bookmarkStart w:id="1084" w:name="_Toc226965835"/>
      <w:bookmarkStart w:id="1085" w:name="_Toc127151562"/>
      <w:bookmarkStart w:id="1086" w:name="_Toc264969251"/>
      <w:bookmarkStart w:id="1087" w:name="_Toc150480797"/>
      <w:bookmarkStart w:id="1088" w:name="_Toc226965834"/>
      <w:bookmarkStart w:id="1089" w:name="_Toc226309805"/>
      <w:bookmarkStart w:id="1090" w:name="_Toc195842926"/>
      <w:bookmarkStart w:id="1091" w:name="_Toc305158829"/>
      <w:bookmarkStart w:id="1092" w:name="_Toc142311061"/>
      <w:bookmarkStart w:id="1093" w:name="_Toc226965751"/>
      <w:bookmarkStart w:id="1094" w:name="_Toc226337257"/>
      <w:bookmarkStart w:id="1095" w:name="_Toc150774764"/>
      <w:bookmarkStart w:id="1096" w:name="_Toc127151561"/>
      <w:bookmarkStart w:id="1097" w:name="_Toc305158903"/>
      <w:bookmarkStart w:id="1098" w:name="_Toc265228399"/>
      <w:r>
        <w:rPr>
          <w:color w:val="000000"/>
          <w:sz w:val="24"/>
          <w:szCs w:val="20"/>
        </w:rPr>
        <w:br w:type="page"/>
      </w:r>
      <w:r>
        <w:rPr>
          <w:color w:val="000000"/>
          <w:sz w:val="24"/>
          <w:szCs w:val="20"/>
        </w:rPr>
        <w:t>5  合同条款偏离表</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r>
        <w:rPr>
          <w:color w:val="000000"/>
          <w:sz w:val="24"/>
          <w:szCs w:val="20"/>
        </w:rPr>
        <w:t>（实质性格式）</w:t>
      </w:r>
    </w:p>
    <w:p>
      <w:pPr>
        <w:spacing w:line="360" w:lineRule="auto"/>
        <w:rPr>
          <w:color w:val="000000"/>
          <w:sz w:val="24"/>
          <w:szCs w:val="20"/>
        </w:rPr>
      </w:pPr>
    </w:p>
    <w:p>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
                <w:color w:val="000000"/>
                <w:sz w:val="24"/>
              </w:rPr>
            </w:pPr>
            <w:r>
              <w:rPr>
                <w:b/>
                <w:color w:val="000000"/>
                <w:sz w:val="24"/>
              </w:rPr>
              <w:t>对本</w:t>
            </w:r>
            <w:r>
              <w:rPr>
                <w:rFonts w:hint="eastAsia"/>
                <w:b/>
                <w:color w:val="000000"/>
                <w:sz w:val="24"/>
              </w:rPr>
              <w:t>项目</w:t>
            </w:r>
            <w:r>
              <w:rPr>
                <w:b/>
                <w:color w:val="000000"/>
                <w:sz w:val="24"/>
              </w:rPr>
              <w:t>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r>
              <w:rPr>
                <w:color w:val="000000"/>
                <w:sz w:val="24"/>
              </w:rPr>
              <w:t>序号</w:t>
            </w:r>
          </w:p>
        </w:tc>
        <w:tc>
          <w:tcPr>
            <w:tcW w:w="1301" w:type="dxa"/>
            <w:vAlign w:val="center"/>
          </w:tcPr>
          <w:p>
            <w:pPr>
              <w:adjustRightInd w:val="0"/>
              <w:snapToGrid w:val="0"/>
              <w:jc w:val="center"/>
              <w:rPr>
                <w:color w:val="000000"/>
                <w:sz w:val="24"/>
              </w:rPr>
            </w:pPr>
            <w:r>
              <w:rPr>
                <w:color w:val="000000"/>
                <w:sz w:val="24"/>
                <w:szCs w:val="21"/>
              </w:rPr>
              <w:t>招标文件</w:t>
            </w:r>
            <w:r>
              <w:rPr>
                <w:color w:val="000000"/>
                <w:sz w:val="24"/>
              </w:rPr>
              <w:t>条目号（页码）</w:t>
            </w:r>
          </w:p>
        </w:tc>
        <w:tc>
          <w:tcPr>
            <w:tcW w:w="2007" w:type="dxa"/>
            <w:vAlign w:val="center"/>
          </w:tcPr>
          <w:p>
            <w:pPr>
              <w:adjustRightInd w:val="0"/>
              <w:snapToGrid w:val="0"/>
              <w:jc w:val="center"/>
              <w:rPr>
                <w:color w:val="000000"/>
                <w:sz w:val="24"/>
              </w:rPr>
            </w:pPr>
            <w:r>
              <w:rPr>
                <w:color w:val="000000"/>
                <w:sz w:val="24"/>
                <w:szCs w:val="21"/>
              </w:rPr>
              <w:t>招标文件</w:t>
            </w:r>
            <w:r>
              <w:rPr>
                <w:color w:val="000000"/>
                <w:sz w:val="24"/>
              </w:rPr>
              <w:t>要求</w:t>
            </w:r>
          </w:p>
        </w:tc>
        <w:tc>
          <w:tcPr>
            <w:tcW w:w="2008" w:type="dxa"/>
            <w:vAlign w:val="center"/>
          </w:tcPr>
          <w:p>
            <w:pPr>
              <w:adjustRightInd w:val="0"/>
              <w:snapToGrid w:val="0"/>
              <w:jc w:val="center"/>
              <w:rPr>
                <w:color w:val="000000"/>
                <w:sz w:val="24"/>
              </w:rPr>
            </w:pPr>
            <w:r>
              <w:rPr>
                <w:color w:val="000000"/>
                <w:sz w:val="24"/>
              </w:rPr>
              <w:t>投标文件内容</w:t>
            </w:r>
          </w:p>
        </w:tc>
        <w:tc>
          <w:tcPr>
            <w:tcW w:w="2458" w:type="dxa"/>
            <w:vAlign w:val="center"/>
          </w:tcPr>
          <w:p>
            <w:pPr>
              <w:adjustRightInd w:val="0"/>
              <w:snapToGrid w:val="0"/>
              <w:jc w:val="center"/>
              <w:rPr>
                <w:color w:val="000000"/>
                <w:sz w:val="24"/>
              </w:rPr>
            </w:pPr>
            <w:r>
              <w:rPr>
                <w:color w:val="000000"/>
                <w:sz w:val="24"/>
              </w:rPr>
              <w:t>偏离情况</w:t>
            </w:r>
          </w:p>
        </w:tc>
        <w:tc>
          <w:tcPr>
            <w:tcW w:w="788"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rFonts w:hint="eastAsia"/>
          <w:color w:val="000000"/>
          <w:sz w:val="24"/>
        </w:rPr>
        <w:t>1</w:t>
      </w:r>
      <w:r>
        <w:rPr>
          <w:color w:val="000000"/>
          <w:sz w:val="24"/>
        </w:rPr>
        <w:t xml:space="preserve">. </w:t>
      </w:r>
      <w:r>
        <w:rPr>
          <w:sz w:val="24"/>
        </w:rPr>
        <w:t>对合同条款中的所有要求，除本表所列明的所有偏离外，均视作供应商已对之理解和</w:t>
      </w:r>
      <w:r>
        <w:rPr>
          <w:rFonts w:hint="eastAsia"/>
          <w:sz w:val="24"/>
        </w:rPr>
        <w:t>响应</w:t>
      </w:r>
      <w:r>
        <w:rPr>
          <w:sz w:val="24"/>
        </w:rPr>
        <w:t>。</w:t>
      </w:r>
    </w:p>
    <w:p>
      <w:pPr>
        <w:tabs>
          <w:tab w:val="left" w:pos="1800"/>
          <w:tab w:val="left" w:pos="5580"/>
        </w:tabs>
        <w:jc w:val="left"/>
        <w:rPr>
          <w:color w:val="000000"/>
          <w:sz w:val="24"/>
        </w:rPr>
      </w:pPr>
      <w:r>
        <w:rPr>
          <w:rFonts w:hint="eastAsia"/>
          <w:sz w:val="24"/>
        </w:rPr>
        <w:t>2</w:t>
      </w:r>
      <w:r>
        <w:rPr>
          <w:sz w:val="24"/>
        </w:rPr>
        <w:t xml:space="preserve">. </w:t>
      </w:r>
      <w:r>
        <w:rPr>
          <w:rFonts w:hint="eastAsia"/>
          <w:sz w:val="24"/>
        </w:rPr>
        <w:t>“偏离情况”列应</w:t>
      </w:r>
      <w:r>
        <w:rPr>
          <w:color w:val="000000"/>
          <w:sz w:val="24"/>
        </w:rPr>
        <w:t>据实</w:t>
      </w:r>
      <w:r>
        <w:rPr>
          <w:rFonts w:hint="eastAsia"/>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color w:val="000000"/>
          <w:sz w:val="24"/>
          <w:szCs w:val="20"/>
        </w:rPr>
      </w:pPr>
      <w:r>
        <w:rPr>
          <w:color w:val="000000"/>
          <w:sz w:val="24"/>
          <w:szCs w:val="20"/>
        </w:rPr>
        <w:br w:type="page"/>
      </w:r>
      <w:r>
        <w:rPr>
          <w:color w:val="000000"/>
          <w:sz w:val="24"/>
          <w:szCs w:val="20"/>
        </w:rPr>
        <w:t xml:space="preserve">6  </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r>
        <w:rPr>
          <w:color w:val="000000"/>
          <w:sz w:val="24"/>
          <w:szCs w:val="20"/>
        </w:rPr>
        <w:t>采购需求偏离表（实质性格式）</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招标文件条目号(页码)</w:t>
            </w:r>
          </w:p>
        </w:tc>
        <w:tc>
          <w:tcPr>
            <w:tcW w:w="2384" w:type="dxa"/>
            <w:vAlign w:val="center"/>
          </w:tcPr>
          <w:p>
            <w:pPr>
              <w:adjustRightInd w:val="0"/>
              <w:snapToGrid w:val="0"/>
              <w:jc w:val="center"/>
              <w:rPr>
                <w:color w:val="000000"/>
                <w:sz w:val="24"/>
              </w:rPr>
            </w:pPr>
            <w:r>
              <w:rPr>
                <w:color w:val="000000"/>
                <w:sz w:val="24"/>
              </w:rPr>
              <w:t>招标文件要求</w:t>
            </w:r>
          </w:p>
        </w:tc>
        <w:tc>
          <w:tcPr>
            <w:tcW w:w="2126" w:type="dxa"/>
            <w:vAlign w:val="center"/>
          </w:tcPr>
          <w:p>
            <w:pPr>
              <w:adjustRightInd w:val="0"/>
              <w:snapToGrid w:val="0"/>
              <w:jc w:val="center"/>
              <w:rPr>
                <w:color w:val="000000"/>
                <w:sz w:val="24"/>
              </w:rPr>
            </w:pPr>
            <w:r>
              <w:rPr>
                <w:color w:val="000000"/>
                <w:sz w:val="24"/>
              </w:rPr>
              <w:t>投标响应内容</w:t>
            </w:r>
          </w:p>
        </w:tc>
        <w:tc>
          <w:tcPr>
            <w:tcW w:w="1875" w:type="dxa"/>
            <w:vAlign w:val="center"/>
          </w:tcPr>
          <w:p>
            <w:pPr>
              <w:adjustRightInd w:val="0"/>
              <w:snapToGrid w:val="0"/>
              <w:jc w:val="center"/>
              <w:rPr>
                <w:color w:val="000000"/>
                <w:sz w:val="24"/>
              </w:rPr>
            </w:pPr>
            <w:r>
              <w:rPr>
                <w:color w:val="000000"/>
                <w:sz w:val="24"/>
              </w:rPr>
              <w:t>偏离情况</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rFonts w:hint="eastAsia"/>
          <w:color w:val="000000"/>
          <w:sz w:val="24"/>
        </w:rPr>
        <w:t>1</w:t>
      </w:r>
      <w:r>
        <w:rPr>
          <w:color w:val="000000"/>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pPr>
        <w:tabs>
          <w:tab w:val="left" w:pos="1800"/>
          <w:tab w:val="left" w:pos="5580"/>
        </w:tabs>
        <w:jc w:val="left"/>
        <w:rPr>
          <w:color w:val="000000"/>
          <w:sz w:val="24"/>
        </w:rPr>
      </w:pPr>
      <w:r>
        <w:rPr>
          <w:sz w:val="24"/>
        </w:rPr>
        <w:t>2.</w:t>
      </w:r>
      <w:r>
        <w:rPr>
          <w:rFonts w:hint="eastAsia"/>
          <w:sz w:val="24"/>
        </w:rPr>
        <w:t>“偏离情况”列应</w:t>
      </w:r>
      <w:r>
        <w:rPr>
          <w:color w:val="000000"/>
          <w:sz w:val="24"/>
        </w:rPr>
        <w:t>据实</w:t>
      </w:r>
      <w:r>
        <w:rPr>
          <w:rFonts w:hint="eastAsia"/>
          <w:sz w:val="24"/>
        </w:rPr>
        <w:t>填写“正偏离”或“负偏离”</w:t>
      </w:r>
      <w:r>
        <w:rPr>
          <w:rFonts w:hint="eastAsia"/>
          <w:sz w:val="24"/>
          <w:lang w:val="en-US" w:eastAsia="zh-CN"/>
        </w:rPr>
        <w:t>或“无偏离”</w:t>
      </w:r>
      <w:r>
        <w:rPr>
          <w:rFonts w:hint="eastAsia"/>
          <w:sz w:val="24"/>
        </w:rPr>
        <w:t>。</w:t>
      </w:r>
    </w:p>
    <w:p>
      <w:pPr>
        <w:tabs>
          <w:tab w:val="left" w:pos="1800"/>
          <w:tab w:val="left" w:pos="5580"/>
        </w:tabs>
        <w:jc w:val="left"/>
        <w:rPr>
          <w:sz w:val="24"/>
        </w:rPr>
      </w:pPr>
    </w:p>
    <w:p>
      <w:pPr>
        <w:tabs>
          <w:tab w:val="left" w:pos="1800"/>
          <w:tab w:val="left" w:pos="5580"/>
        </w:tabs>
        <w:jc w:val="left"/>
        <w:rPr>
          <w:color w:val="000000"/>
          <w:sz w:val="24"/>
        </w:rPr>
      </w:pPr>
    </w:p>
    <w:p>
      <w:pPr>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color w:val="000000"/>
          <w:sz w:val="24"/>
          <w:szCs w:val="20"/>
        </w:rPr>
      </w:pPr>
      <w:r>
        <w:rPr>
          <w:color w:val="000000"/>
          <w:sz w:val="24"/>
          <w:szCs w:val="20"/>
        </w:rPr>
        <w:br w:type="page"/>
      </w:r>
      <w:r>
        <w:rPr>
          <w:color w:val="000000"/>
          <w:sz w:val="24"/>
          <w:szCs w:val="20"/>
        </w:rPr>
        <w:t>7  中小企业声明函</w:t>
      </w:r>
    </w:p>
    <w:p>
      <w:pPr>
        <w:rPr>
          <w:b/>
          <w:sz w:val="24"/>
        </w:rPr>
      </w:pPr>
      <w:r>
        <w:rPr>
          <w:b/>
          <w:sz w:val="24"/>
        </w:rPr>
        <w:t>注：本项目专门面向小微企业采购，“第七章投标文件格式”的“一、资格证明文件格式”的附件</w:t>
      </w:r>
      <w:r>
        <w:rPr>
          <w:rFonts w:hint="eastAsia"/>
          <w:b/>
          <w:sz w:val="24"/>
        </w:rPr>
        <w:t>2-1中小企业声明函已要求提供，此处可不重复填写本附件。</w:t>
      </w:r>
    </w:p>
    <w:p>
      <w:pPr>
        <w:rPr>
          <w:b/>
          <w:sz w:val="24"/>
        </w:rPr>
      </w:pPr>
    </w:p>
    <w:p>
      <w:pPr>
        <w:tabs>
          <w:tab w:val="left" w:pos="5580"/>
        </w:tabs>
        <w:spacing w:line="360" w:lineRule="auto"/>
        <w:rPr>
          <w:sz w:val="24"/>
        </w:rPr>
      </w:pPr>
      <w:r>
        <w:rPr>
          <w:rFonts w:hint="eastAsia"/>
          <w:sz w:val="24"/>
        </w:rPr>
        <w:t>说明：</w:t>
      </w:r>
    </w:p>
    <w:p>
      <w:pPr>
        <w:tabs>
          <w:tab w:val="left" w:pos="5580"/>
        </w:tabs>
        <w:spacing w:line="360" w:lineRule="auto"/>
        <w:rPr>
          <w:sz w:val="24"/>
        </w:rPr>
      </w:pPr>
      <w:r>
        <w:rPr>
          <w:rFonts w:hint="eastAsia"/>
          <w:sz w:val="24"/>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rFonts w:hint="eastAsia"/>
          <w:sz w:val="24"/>
        </w:rPr>
        <w:t>3）对于多标的的采购项目，投标人应充分、准确地了解所投产品制造企业信息。对相关情况了解不清楚的，不建议填报本声明函。</w:t>
      </w:r>
    </w:p>
    <w:p>
      <w:pPr>
        <w:tabs>
          <w:tab w:val="left" w:pos="5580"/>
        </w:tabs>
        <w:spacing w:line="360" w:lineRule="auto"/>
        <w:rPr>
          <w:sz w:val="24"/>
        </w:rPr>
      </w:pPr>
      <w:r>
        <w:rPr>
          <w:rFonts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widowControl/>
        <w:jc w:val="left"/>
        <w:rPr>
          <w:b/>
          <w:bCs/>
          <w:color w:val="000000"/>
          <w:sz w:val="24"/>
        </w:rPr>
      </w:pPr>
      <w:r>
        <w:rPr>
          <w:b/>
          <w:bCs/>
          <w:color w:val="000000"/>
          <w:sz w:val="24"/>
        </w:rPr>
        <w:br w:type="page"/>
      </w:r>
    </w:p>
    <w:p>
      <w:pPr>
        <w:spacing w:before="240" w:beforeLines="100" w:after="240" w:afterLines="100" w:line="360" w:lineRule="auto"/>
        <w:jc w:val="center"/>
        <w:rPr>
          <w:b/>
          <w:color w:val="000000"/>
          <w:sz w:val="36"/>
          <w:szCs w:val="36"/>
        </w:rPr>
      </w:pPr>
      <w:r>
        <w:rPr>
          <w:b/>
          <w:bCs/>
          <w:color w:val="000000"/>
          <w:sz w:val="36"/>
          <w:szCs w:val="36"/>
        </w:rPr>
        <w:t>中小企业声明函（货物）格式</w:t>
      </w:r>
    </w:p>
    <w:p>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pPr>
        <w:numPr>
          <w:ilvl w:val="0"/>
          <w:numId w:val="15"/>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fldChar w:fldCharType="begin"/>
      </w:r>
      <w:r>
        <w:instrText xml:space="preserve"> HYPERLINK \l "_bookmark0"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color="000000"/>
        </w:rPr>
        <w:t>（中型企业、小型企业、微型企业）</w:t>
      </w:r>
      <w:r>
        <w:rPr>
          <w:kern w:val="0"/>
          <w:sz w:val="24"/>
        </w:rPr>
        <w:t>；</w:t>
      </w:r>
    </w:p>
    <w:p>
      <w:pPr>
        <w:numPr>
          <w:ilvl w:val="0"/>
          <w:numId w:val="15"/>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pPr>
        <w:spacing w:line="360" w:lineRule="auto"/>
        <w:ind w:firstLine="504"/>
        <w:rPr>
          <w:spacing w:val="6"/>
          <w:sz w:val="24"/>
        </w:rPr>
      </w:pP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6"/>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pPr>
        <w:numPr>
          <w:ilvl w:val="0"/>
          <w:numId w:val="16"/>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kern w:val="0"/>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spacing w:line="360" w:lineRule="auto"/>
        <w:outlineLvl w:val="2"/>
        <w:rPr>
          <w:color w:val="000000"/>
          <w:sz w:val="24"/>
          <w:szCs w:val="20"/>
        </w:rPr>
      </w:pPr>
      <w:r>
        <w:rPr>
          <w:color w:val="000000"/>
          <w:sz w:val="24"/>
          <w:szCs w:val="20"/>
        </w:rPr>
        <w:br w:type="page"/>
      </w:r>
      <w:r>
        <w:rPr>
          <w:color w:val="000000"/>
          <w:sz w:val="24"/>
          <w:szCs w:val="20"/>
        </w:rPr>
        <w:t>8  拟分包情况说明（类型二）</w:t>
      </w:r>
      <w:r>
        <w:rPr>
          <w:color w:val="000000"/>
          <w:sz w:val="24"/>
        </w:rPr>
        <w:t>（实质性格式）</w:t>
      </w:r>
      <w:r>
        <w:rPr>
          <w:b/>
          <w:color w:val="000000"/>
          <w:sz w:val="24"/>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127"/>
              <w:jc w:val="center"/>
              <w:rPr>
                <w:sz w:val="24"/>
              </w:rPr>
            </w:pPr>
            <w:r>
              <w:rPr>
                <w:sz w:val="24"/>
              </w:rPr>
              <w:t>序号</w:t>
            </w:r>
          </w:p>
        </w:tc>
        <w:tc>
          <w:tcPr>
            <w:tcW w:w="1287" w:type="dxa"/>
            <w:vAlign w:val="center"/>
          </w:tcPr>
          <w:p>
            <w:pPr>
              <w:pStyle w:val="127"/>
              <w:jc w:val="center"/>
              <w:rPr>
                <w:sz w:val="24"/>
              </w:rPr>
            </w:pPr>
            <w:r>
              <w:rPr>
                <w:sz w:val="24"/>
              </w:rPr>
              <w:t>分包承担</w:t>
            </w:r>
          </w:p>
          <w:p>
            <w:pPr>
              <w:pStyle w:val="127"/>
              <w:jc w:val="center"/>
              <w:rPr>
                <w:sz w:val="24"/>
              </w:rPr>
            </w:pPr>
            <w:r>
              <w:rPr>
                <w:sz w:val="24"/>
              </w:rPr>
              <w:t>主体名称</w:t>
            </w:r>
          </w:p>
        </w:tc>
        <w:tc>
          <w:tcPr>
            <w:tcW w:w="1513" w:type="dxa"/>
            <w:vAlign w:val="center"/>
          </w:tcPr>
          <w:p>
            <w:pPr>
              <w:pStyle w:val="127"/>
              <w:jc w:val="center"/>
              <w:rPr>
                <w:sz w:val="24"/>
                <w:lang w:eastAsia="zh-CN"/>
              </w:rPr>
            </w:pPr>
            <w:r>
              <w:rPr>
                <w:sz w:val="24"/>
                <w:lang w:eastAsia="zh-CN"/>
              </w:rPr>
              <w:t>分包承担</w:t>
            </w:r>
          </w:p>
          <w:p>
            <w:pPr>
              <w:pStyle w:val="127"/>
              <w:jc w:val="center"/>
              <w:rPr>
                <w:sz w:val="24"/>
                <w:lang w:eastAsia="zh-CN"/>
              </w:rPr>
            </w:pPr>
            <w:r>
              <w:rPr>
                <w:sz w:val="24"/>
                <w:lang w:eastAsia="zh-CN"/>
              </w:rPr>
              <w:t>主体类型</w:t>
            </w:r>
          </w:p>
          <w:p>
            <w:pPr>
              <w:pStyle w:val="127"/>
              <w:jc w:val="center"/>
              <w:rPr>
                <w:sz w:val="24"/>
                <w:lang w:eastAsia="zh-CN"/>
              </w:rPr>
            </w:pPr>
            <w:r>
              <w:rPr>
                <w:rFonts w:hint="eastAsia"/>
                <w:sz w:val="24"/>
                <w:lang w:eastAsia="zh-CN"/>
              </w:rPr>
              <w:t>（勾选）</w:t>
            </w:r>
          </w:p>
        </w:tc>
        <w:tc>
          <w:tcPr>
            <w:tcW w:w="1125" w:type="dxa"/>
            <w:vAlign w:val="center"/>
          </w:tcPr>
          <w:p>
            <w:pPr>
              <w:pStyle w:val="127"/>
              <w:jc w:val="center"/>
              <w:rPr>
                <w:sz w:val="24"/>
              </w:rPr>
            </w:pPr>
            <w:r>
              <w:rPr>
                <w:sz w:val="24"/>
              </w:rPr>
              <w:t>资质等级</w:t>
            </w:r>
          </w:p>
        </w:tc>
        <w:tc>
          <w:tcPr>
            <w:tcW w:w="1558" w:type="dxa"/>
            <w:vAlign w:val="center"/>
          </w:tcPr>
          <w:p>
            <w:pPr>
              <w:pStyle w:val="127"/>
              <w:jc w:val="center"/>
              <w:rPr>
                <w:sz w:val="24"/>
              </w:rPr>
            </w:pPr>
            <w:r>
              <w:rPr>
                <w:sz w:val="24"/>
              </w:rPr>
              <w:t>拟分包</w:t>
            </w:r>
          </w:p>
          <w:p>
            <w:pPr>
              <w:pStyle w:val="127"/>
              <w:jc w:val="center"/>
              <w:rPr>
                <w:sz w:val="24"/>
              </w:rPr>
            </w:pPr>
            <w:r>
              <w:rPr>
                <w:sz w:val="24"/>
              </w:rPr>
              <w:t>合同内容</w:t>
            </w:r>
          </w:p>
        </w:tc>
        <w:tc>
          <w:tcPr>
            <w:tcW w:w="1498" w:type="dxa"/>
            <w:vAlign w:val="center"/>
          </w:tcPr>
          <w:p>
            <w:pPr>
              <w:pStyle w:val="127"/>
              <w:jc w:val="center"/>
              <w:rPr>
                <w:sz w:val="24"/>
                <w:lang w:eastAsia="zh-CN"/>
              </w:rPr>
            </w:pPr>
            <w:r>
              <w:rPr>
                <w:sz w:val="24"/>
                <w:lang w:eastAsia="zh-CN"/>
              </w:rPr>
              <w:t>拟分包</w:t>
            </w:r>
          </w:p>
          <w:p>
            <w:pPr>
              <w:pStyle w:val="127"/>
              <w:jc w:val="center"/>
              <w:rPr>
                <w:sz w:val="24"/>
                <w:lang w:eastAsia="zh-CN"/>
              </w:rPr>
            </w:pPr>
            <w:r>
              <w:rPr>
                <w:sz w:val="24"/>
                <w:lang w:eastAsia="zh-CN"/>
              </w:rPr>
              <w:t>合同金额</w:t>
            </w:r>
          </w:p>
          <w:p>
            <w:pPr>
              <w:pStyle w:val="127"/>
              <w:jc w:val="center"/>
              <w:rPr>
                <w:sz w:val="24"/>
                <w:lang w:eastAsia="zh-CN"/>
              </w:rPr>
            </w:pPr>
            <w:r>
              <w:rPr>
                <w:sz w:val="24"/>
                <w:lang w:eastAsia="zh-CN"/>
              </w:rPr>
              <w:t>（人民币元）</w:t>
            </w:r>
          </w:p>
        </w:tc>
        <w:tc>
          <w:tcPr>
            <w:tcW w:w="1564" w:type="dxa"/>
            <w:vAlign w:val="center"/>
          </w:tcPr>
          <w:p>
            <w:pPr>
              <w:pStyle w:val="127"/>
              <w:jc w:val="center"/>
              <w:rPr>
                <w:b/>
                <w:sz w:val="24"/>
                <w:lang w:eastAsia="zh-CN"/>
              </w:rPr>
            </w:pPr>
            <w:r>
              <w:rPr>
                <w:b/>
                <w:sz w:val="24"/>
                <w:lang w:eastAsia="zh-CN"/>
              </w:rPr>
              <w:t>占</w:t>
            </w:r>
            <w:r>
              <w:rPr>
                <w:rFonts w:hint="eastAsia"/>
                <w:b/>
                <w:sz w:val="24"/>
                <w:lang w:eastAsia="zh-CN"/>
              </w:rPr>
              <w:t>投标报价</w:t>
            </w:r>
          </w:p>
          <w:p>
            <w:pPr>
              <w:pStyle w:val="127"/>
              <w:jc w:val="center"/>
              <w:rPr>
                <w:sz w:val="24"/>
                <w:lang w:eastAsia="zh-CN"/>
              </w:rPr>
            </w:pPr>
            <w:r>
              <w:rPr>
                <w:b/>
                <w:sz w:val="24"/>
                <w:lang w:eastAsia="zh-CN"/>
              </w:rPr>
              <w:t>的比例</w:t>
            </w:r>
            <w:r>
              <w:rPr>
                <w:rFonts w:hint="eastAsia"/>
                <w:b/>
                <w:sz w:val="24"/>
                <w:lang w:eastAsia="zh-CN"/>
              </w:rPr>
              <w:t>（</w:t>
            </w:r>
            <w:r>
              <w:rPr>
                <w:rFonts w:ascii="Times New Roman" w:eastAsia="Times New Roman"/>
                <w:b/>
                <w:sz w:val="24"/>
                <w:lang w:eastAsia="zh-CN"/>
              </w:rPr>
              <w:t>%</w:t>
            </w:r>
            <w:r>
              <w:rPr>
                <w:rFonts w:hint="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27"/>
              <w:jc w:val="center"/>
              <w:rPr>
                <w:rFonts w:ascii="Times New Roman"/>
                <w:sz w:val="24"/>
              </w:rPr>
            </w:pPr>
            <w:r>
              <w:rPr>
                <w:rFonts w:ascii="Times New Roman"/>
                <w:sz w:val="24"/>
              </w:rPr>
              <w:t>1</w:t>
            </w:r>
          </w:p>
        </w:tc>
        <w:tc>
          <w:tcPr>
            <w:tcW w:w="1287" w:type="dxa"/>
            <w:vAlign w:val="center"/>
          </w:tcPr>
          <w:p>
            <w:pPr>
              <w:pStyle w:val="127"/>
              <w:jc w:val="center"/>
              <w:rPr>
                <w:rFonts w:ascii="Times New Roman" w:hAnsi="Times New Roman" w:cs="Times New Roman"/>
                <w:sz w:val="30"/>
              </w:rPr>
            </w:pPr>
          </w:p>
        </w:tc>
        <w:tc>
          <w:tcPr>
            <w:tcW w:w="1513" w:type="dxa"/>
            <w:vAlign w:val="center"/>
          </w:tcPr>
          <w:p>
            <w:pPr>
              <w:pStyle w:val="12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pPr>
              <w:pStyle w:val="12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vAlign w:val="center"/>
          </w:tcPr>
          <w:p>
            <w:pPr>
              <w:pStyle w:val="127"/>
              <w:jc w:val="center"/>
              <w:rPr>
                <w:rFonts w:ascii="Times New Roman"/>
                <w:sz w:val="30"/>
                <w:lang w:eastAsia="zh-CN"/>
              </w:rPr>
            </w:pPr>
          </w:p>
        </w:tc>
        <w:tc>
          <w:tcPr>
            <w:tcW w:w="1558" w:type="dxa"/>
            <w:vAlign w:val="center"/>
          </w:tcPr>
          <w:p>
            <w:pPr>
              <w:pStyle w:val="127"/>
              <w:jc w:val="center"/>
              <w:rPr>
                <w:rFonts w:ascii="Times New Roman"/>
                <w:sz w:val="30"/>
                <w:lang w:eastAsia="zh-CN"/>
              </w:rPr>
            </w:pPr>
          </w:p>
        </w:tc>
        <w:tc>
          <w:tcPr>
            <w:tcW w:w="1498" w:type="dxa"/>
            <w:vAlign w:val="center"/>
          </w:tcPr>
          <w:p>
            <w:pPr>
              <w:pStyle w:val="127"/>
              <w:jc w:val="center"/>
              <w:rPr>
                <w:rFonts w:ascii="Times New Roman"/>
                <w:sz w:val="30"/>
                <w:lang w:eastAsia="zh-CN"/>
              </w:rPr>
            </w:pPr>
          </w:p>
        </w:tc>
        <w:tc>
          <w:tcPr>
            <w:tcW w:w="1564" w:type="dxa"/>
            <w:vAlign w:val="center"/>
          </w:tcPr>
          <w:p>
            <w:pPr>
              <w:pStyle w:val="127"/>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27"/>
              <w:jc w:val="center"/>
              <w:rPr>
                <w:rFonts w:ascii="Times New Roman"/>
                <w:sz w:val="24"/>
                <w:lang w:eastAsia="zh-CN"/>
              </w:rPr>
            </w:pPr>
            <w:r>
              <w:rPr>
                <w:rFonts w:hint="eastAsia" w:ascii="Times New Roman"/>
                <w:sz w:val="24"/>
                <w:lang w:eastAsia="zh-CN"/>
              </w:rPr>
              <w:t>2</w:t>
            </w:r>
          </w:p>
        </w:tc>
        <w:tc>
          <w:tcPr>
            <w:tcW w:w="1287" w:type="dxa"/>
            <w:vAlign w:val="center"/>
          </w:tcPr>
          <w:p>
            <w:pPr>
              <w:pStyle w:val="127"/>
              <w:jc w:val="center"/>
              <w:rPr>
                <w:rFonts w:ascii="Times New Roman"/>
                <w:sz w:val="30"/>
              </w:rPr>
            </w:pPr>
          </w:p>
        </w:tc>
        <w:tc>
          <w:tcPr>
            <w:tcW w:w="1513" w:type="dxa"/>
            <w:vAlign w:val="center"/>
          </w:tcPr>
          <w:p>
            <w:pPr>
              <w:pStyle w:val="12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pPr>
              <w:pStyle w:val="12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vAlign w:val="center"/>
          </w:tcPr>
          <w:p>
            <w:pPr>
              <w:pStyle w:val="127"/>
              <w:jc w:val="center"/>
              <w:rPr>
                <w:rFonts w:ascii="Times New Roman"/>
                <w:sz w:val="30"/>
                <w:lang w:eastAsia="zh-CN"/>
              </w:rPr>
            </w:pPr>
          </w:p>
        </w:tc>
        <w:tc>
          <w:tcPr>
            <w:tcW w:w="1558" w:type="dxa"/>
            <w:vAlign w:val="center"/>
          </w:tcPr>
          <w:p>
            <w:pPr>
              <w:pStyle w:val="127"/>
              <w:jc w:val="center"/>
              <w:rPr>
                <w:rFonts w:ascii="Times New Roman"/>
                <w:sz w:val="30"/>
                <w:lang w:eastAsia="zh-CN"/>
              </w:rPr>
            </w:pPr>
          </w:p>
        </w:tc>
        <w:tc>
          <w:tcPr>
            <w:tcW w:w="1498" w:type="dxa"/>
            <w:vAlign w:val="center"/>
          </w:tcPr>
          <w:p>
            <w:pPr>
              <w:pStyle w:val="127"/>
              <w:jc w:val="center"/>
              <w:rPr>
                <w:rFonts w:ascii="Times New Roman"/>
                <w:sz w:val="30"/>
                <w:lang w:eastAsia="zh-CN"/>
              </w:rPr>
            </w:pPr>
          </w:p>
        </w:tc>
        <w:tc>
          <w:tcPr>
            <w:tcW w:w="1564" w:type="dxa"/>
            <w:vAlign w:val="center"/>
          </w:tcPr>
          <w:p>
            <w:pPr>
              <w:pStyle w:val="127"/>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27"/>
              <w:jc w:val="center"/>
              <w:rPr>
                <w:rFonts w:ascii="Times New Roman"/>
                <w:sz w:val="24"/>
                <w:lang w:eastAsia="zh-CN"/>
              </w:rPr>
            </w:pPr>
            <w:r>
              <w:rPr>
                <w:rFonts w:ascii="Times New Roman"/>
                <w:sz w:val="24"/>
                <w:lang w:eastAsia="zh-CN"/>
              </w:rPr>
              <w:t>…</w:t>
            </w:r>
          </w:p>
        </w:tc>
        <w:tc>
          <w:tcPr>
            <w:tcW w:w="1287" w:type="dxa"/>
            <w:vAlign w:val="center"/>
          </w:tcPr>
          <w:p>
            <w:pPr>
              <w:pStyle w:val="127"/>
              <w:jc w:val="center"/>
              <w:rPr>
                <w:rFonts w:ascii="Times New Roman"/>
                <w:sz w:val="30"/>
              </w:rPr>
            </w:pPr>
          </w:p>
        </w:tc>
        <w:tc>
          <w:tcPr>
            <w:tcW w:w="1513" w:type="dxa"/>
            <w:vAlign w:val="center"/>
          </w:tcPr>
          <w:p>
            <w:pPr>
              <w:pStyle w:val="127"/>
              <w:tabs>
                <w:tab w:val="left" w:pos="235"/>
              </w:tabs>
              <w:jc w:val="center"/>
              <w:rPr>
                <w:sz w:val="24"/>
              </w:rPr>
            </w:pPr>
          </w:p>
        </w:tc>
        <w:tc>
          <w:tcPr>
            <w:tcW w:w="1125" w:type="dxa"/>
            <w:vAlign w:val="center"/>
          </w:tcPr>
          <w:p>
            <w:pPr>
              <w:pStyle w:val="127"/>
              <w:jc w:val="center"/>
              <w:rPr>
                <w:rFonts w:ascii="Times New Roman"/>
                <w:sz w:val="30"/>
              </w:rPr>
            </w:pPr>
          </w:p>
        </w:tc>
        <w:tc>
          <w:tcPr>
            <w:tcW w:w="1558" w:type="dxa"/>
            <w:vAlign w:val="center"/>
          </w:tcPr>
          <w:p>
            <w:pPr>
              <w:pStyle w:val="127"/>
              <w:jc w:val="center"/>
              <w:rPr>
                <w:rFonts w:ascii="Times New Roman"/>
                <w:sz w:val="30"/>
              </w:rPr>
            </w:pPr>
          </w:p>
        </w:tc>
        <w:tc>
          <w:tcPr>
            <w:tcW w:w="1498" w:type="dxa"/>
            <w:vAlign w:val="center"/>
          </w:tcPr>
          <w:p>
            <w:pPr>
              <w:pStyle w:val="127"/>
              <w:jc w:val="center"/>
              <w:rPr>
                <w:rFonts w:ascii="Times New Roman"/>
                <w:sz w:val="30"/>
              </w:rPr>
            </w:pPr>
          </w:p>
        </w:tc>
        <w:tc>
          <w:tcPr>
            <w:tcW w:w="1564" w:type="dxa"/>
            <w:vAlign w:val="center"/>
          </w:tcPr>
          <w:p>
            <w:pPr>
              <w:pStyle w:val="127"/>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127"/>
              <w:ind w:right="57" w:rightChars="27"/>
              <w:jc w:val="right"/>
              <w:rPr>
                <w:sz w:val="24"/>
                <w:lang w:eastAsia="zh-CN"/>
              </w:rPr>
            </w:pPr>
            <w:r>
              <w:rPr>
                <w:rFonts w:hint="eastAsia"/>
                <w:sz w:val="24"/>
                <w:lang w:eastAsia="zh-CN"/>
              </w:rPr>
              <w:t>合计：</w:t>
            </w:r>
          </w:p>
        </w:tc>
        <w:tc>
          <w:tcPr>
            <w:tcW w:w="1498" w:type="dxa"/>
            <w:vAlign w:val="center"/>
          </w:tcPr>
          <w:p>
            <w:pPr>
              <w:pStyle w:val="127"/>
              <w:jc w:val="center"/>
              <w:rPr>
                <w:rFonts w:ascii="Times New Roman"/>
                <w:sz w:val="30"/>
              </w:rPr>
            </w:pPr>
          </w:p>
        </w:tc>
        <w:tc>
          <w:tcPr>
            <w:tcW w:w="1564" w:type="dxa"/>
            <w:vAlign w:val="center"/>
          </w:tcPr>
          <w:p>
            <w:pPr>
              <w:pStyle w:val="127"/>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1.本表仅在投标人非因“为落实政府采购政策”而分包时填写；投标人“为落实政府采购政策”而向中小企业分包时请按照《</w:t>
      </w:r>
      <w:r>
        <w:rPr>
          <w:color w:val="000000"/>
          <w:sz w:val="24"/>
          <w:szCs w:val="20"/>
        </w:rPr>
        <w:t>拟分包情况说明及分包意向协议</w:t>
      </w:r>
      <w:r>
        <w:rPr>
          <w:sz w:val="24"/>
        </w:rPr>
        <w:t>》（类型一）要求填写。</w:t>
      </w:r>
    </w:p>
    <w:p>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w:t>
      </w:r>
      <w:r>
        <w:rPr>
          <w:rFonts w:hint="eastAsia"/>
          <w:sz w:val="24"/>
        </w:rPr>
        <w:t>电子件，</w:t>
      </w:r>
      <w:r>
        <w:rPr>
          <w:sz w:val="24"/>
        </w:rPr>
        <w:t>否则</w:t>
      </w:r>
      <w:r>
        <w:rPr>
          <w:b/>
          <w:sz w:val="24"/>
        </w:rPr>
        <w:t>投标无效</w:t>
      </w:r>
      <w:r>
        <w:rPr>
          <w:sz w:val="24"/>
        </w:rPr>
        <w:t>。</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投标人名称（盖章）：______</w:t>
      </w:r>
    </w:p>
    <w:p>
      <w:pPr>
        <w:adjustRightInd w:val="0"/>
        <w:snapToGrid w:val="0"/>
        <w:spacing w:line="360" w:lineRule="auto"/>
        <w:ind w:firstLine="480" w:firstLineChars="200"/>
        <w:jc w:val="right"/>
        <w:rPr>
          <w:sz w:val="24"/>
        </w:rPr>
      </w:pPr>
      <w:r>
        <w:rPr>
          <w:color w:val="000000"/>
          <w:sz w:val="24"/>
        </w:rPr>
        <w:t>日期：_____年______月______日</w:t>
      </w:r>
    </w:p>
    <w:p>
      <w:pPr>
        <w:spacing w:line="360" w:lineRule="auto"/>
        <w:rPr>
          <w:b/>
          <w:color w:val="000000"/>
          <w:sz w:val="24"/>
        </w:rPr>
      </w:pPr>
    </w:p>
    <w:p>
      <w:pPr>
        <w:spacing w:line="360" w:lineRule="auto"/>
        <w:outlineLvl w:val="2"/>
        <w:rPr>
          <w:color w:val="000000"/>
          <w:sz w:val="24"/>
        </w:rPr>
      </w:pPr>
      <w:r>
        <w:rPr>
          <w:color w:val="000000"/>
          <w:sz w:val="24"/>
          <w:szCs w:val="20"/>
        </w:rPr>
        <w:br w:type="page"/>
      </w:r>
      <w:bookmarkStart w:id="1099" w:name="_Toc68707667"/>
      <w:r>
        <w:rPr>
          <w:rFonts w:hint="eastAsia"/>
          <w:color w:val="000000"/>
          <w:sz w:val="24"/>
        </w:rPr>
        <w:t xml:space="preserve">9 </w:t>
      </w:r>
      <w:r>
        <w:rPr>
          <w:color w:val="000000"/>
          <w:sz w:val="24"/>
        </w:rPr>
        <w:t>业绩证明文件</w:t>
      </w:r>
      <w:bookmarkEnd w:id="1099"/>
    </w:p>
    <w:p>
      <w:pPr>
        <w:spacing w:line="360" w:lineRule="auto"/>
        <w:ind w:left="420" w:right="-57" w:rightChars="-27"/>
        <w:rPr>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pPr>
              <w:jc w:val="center"/>
              <w:rPr>
                <w:sz w:val="24"/>
              </w:rPr>
            </w:pPr>
            <w:r>
              <w:rPr>
                <w:sz w:val="24"/>
              </w:rPr>
              <w:t>序号</w:t>
            </w:r>
          </w:p>
        </w:tc>
        <w:tc>
          <w:tcPr>
            <w:tcW w:w="1432" w:type="dxa"/>
            <w:tcBorders>
              <w:top w:val="single" w:color="auto" w:sz="4" w:space="0"/>
            </w:tcBorders>
          </w:tcPr>
          <w:p>
            <w:pPr>
              <w:jc w:val="center"/>
              <w:rPr>
                <w:sz w:val="24"/>
              </w:rPr>
            </w:pPr>
            <w:r>
              <w:rPr>
                <w:sz w:val="24"/>
              </w:rPr>
              <w:t>行业类型</w:t>
            </w:r>
          </w:p>
        </w:tc>
        <w:tc>
          <w:tcPr>
            <w:tcW w:w="1366" w:type="dxa"/>
            <w:tcBorders>
              <w:top w:val="single" w:color="auto" w:sz="4" w:space="0"/>
            </w:tcBorders>
          </w:tcPr>
          <w:p>
            <w:pPr>
              <w:jc w:val="center"/>
              <w:rPr>
                <w:sz w:val="24"/>
              </w:rPr>
            </w:pPr>
            <w:r>
              <w:rPr>
                <w:sz w:val="24"/>
              </w:rPr>
              <w:t>项目名称</w:t>
            </w:r>
          </w:p>
        </w:tc>
        <w:tc>
          <w:tcPr>
            <w:tcW w:w="1507" w:type="dxa"/>
            <w:tcBorders>
              <w:top w:val="single" w:color="auto" w:sz="4" w:space="0"/>
            </w:tcBorders>
          </w:tcPr>
          <w:p>
            <w:pPr>
              <w:jc w:val="center"/>
              <w:rPr>
                <w:sz w:val="24"/>
              </w:rPr>
            </w:pPr>
            <w:r>
              <w:rPr>
                <w:sz w:val="24"/>
              </w:rPr>
              <w:t>起止时间</w:t>
            </w:r>
          </w:p>
        </w:tc>
        <w:tc>
          <w:tcPr>
            <w:tcW w:w="1373" w:type="dxa"/>
            <w:tcBorders>
              <w:top w:val="single" w:color="auto" w:sz="4" w:space="0"/>
            </w:tcBorders>
          </w:tcPr>
          <w:p>
            <w:pPr>
              <w:jc w:val="center"/>
              <w:rPr>
                <w:sz w:val="24"/>
              </w:rPr>
            </w:pPr>
            <w:r>
              <w:rPr>
                <w:sz w:val="24"/>
              </w:rPr>
              <w:t>业务描述</w:t>
            </w:r>
          </w:p>
        </w:tc>
        <w:tc>
          <w:tcPr>
            <w:tcW w:w="1063" w:type="dxa"/>
            <w:tcBorders>
              <w:top w:val="single" w:color="auto" w:sz="4" w:space="0"/>
            </w:tcBorders>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1</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2</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3</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4</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5</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6</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7</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8</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pPr>
              <w:jc w:val="center"/>
              <w:rPr>
                <w:sz w:val="24"/>
              </w:rPr>
            </w:pPr>
          </w:p>
        </w:tc>
        <w:tc>
          <w:tcPr>
            <w:tcW w:w="1432" w:type="dxa"/>
            <w:tcBorders>
              <w:bottom w:val="single" w:color="auto" w:sz="4" w:space="0"/>
            </w:tcBorders>
          </w:tcPr>
          <w:p>
            <w:pPr>
              <w:rPr>
                <w:sz w:val="24"/>
              </w:rPr>
            </w:pPr>
          </w:p>
        </w:tc>
        <w:tc>
          <w:tcPr>
            <w:tcW w:w="1366" w:type="dxa"/>
            <w:tcBorders>
              <w:bottom w:val="single" w:color="auto" w:sz="4" w:space="0"/>
            </w:tcBorders>
          </w:tcPr>
          <w:p>
            <w:pPr>
              <w:rPr>
                <w:sz w:val="24"/>
              </w:rPr>
            </w:pPr>
          </w:p>
        </w:tc>
        <w:tc>
          <w:tcPr>
            <w:tcW w:w="1507" w:type="dxa"/>
            <w:tcBorders>
              <w:bottom w:val="single" w:color="auto" w:sz="4" w:space="0"/>
            </w:tcBorders>
          </w:tcPr>
          <w:p>
            <w:pPr>
              <w:rPr>
                <w:sz w:val="24"/>
              </w:rPr>
            </w:pPr>
          </w:p>
        </w:tc>
        <w:tc>
          <w:tcPr>
            <w:tcW w:w="1373" w:type="dxa"/>
            <w:tcBorders>
              <w:bottom w:val="single" w:color="auto" w:sz="4" w:space="0"/>
            </w:tcBorders>
          </w:tcPr>
          <w:p>
            <w:pPr>
              <w:rPr>
                <w:sz w:val="24"/>
              </w:rPr>
            </w:pPr>
          </w:p>
        </w:tc>
        <w:tc>
          <w:tcPr>
            <w:tcW w:w="1063" w:type="dxa"/>
            <w:tcBorders>
              <w:bottom w:val="single" w:color="auto" w:sz="4" w:space="0"/>
            </w:tcBorders>
          </w:tcPr>
          <w:p>
            <w:pPr>
              <w:rPr>
                <w:sz w:val="24"/>
              </w:rPr>
            </w:pPr>
          </w:p>
        </w:tc>
      </w:tr>
    </w:tbl>
    <w:p>
      <w:pPr>
        <w:spacing w:line="360" w:lineRule="auto"/>
        <w:ind w:left="420" w:right="-57" w:rightChars="-27"/>
        <w:rPr>
          <w:sz w:val="24"/>
        </w:rPr>
      </w:pPr>
    </w:p>
    <w:p>
      <w:pPr>
        <w:spacing w:line="360" w:lineRule="auto"/>
        <w:ind w:right="-57" w:rightChars="-27"/>
        <w:jc w:val="left"/>
        <w:rPr>
          <w:sz w:val="24"/>
          <w:lang w:val="zh-CN"/>
        </w:rPr>
      </w:pPr>
      <w:r>
        <w:rPr>
          <w:sz w:val="24"/>
        </w:rPr>
        <w:t>注：</w:t>
      </w:r>
      <w:r>
        <w:rPr>
          <w:sz w:val="24"/>
          <w:lang w:val="zh-CN"/>
        </w:rPr>
        <w:t>对</w:t>
      </w:r>
      <w:r>
        <w:rPr>
          <w:rFonts w:hint="eastAsia"/>
          <w:sz w:val="24"/>
          <w:lang w:val="zh-CN"/>
        </w:rPr>
        <w:t>20</w:t>
      </w:r>
      <w:r>
        <w:rPr>
          <w:rFonts w:hint="eastAsia"/>
          <w:sz w:val="24"/>
          <w:lang w:val="en-US" w:eastAsia="zh-CN"/>
        </w:rPr>
        <w:t>21</w:t>
      </w:r>
      <w:r>
        <w:rPr>
          <w:rFonts w:hint="eastAsia"/>
          <w:sz w:val="24"/>
          <w:lang w:val="zh-CN"/>
        </w:rPr>
        <w:t>年1月1日至投标截止日前</w:t>
      </w:r>
      <w:r>
        <w:rPr>
          <w:sz w:val="24"/>
          <w:lang w:val="zh-CN"/>
        </w:rPr>
        <w:t>做过的相关业绩作出说明（</w:t>
      </w:r>
      <w:r>
        <w:rPr>
          <w:rFonts w:hint="eastAsia"/>
          <w:sz w:val="24"/>
          <w:lang w:val="zh-CN"/>
        </w:rPr>
        <w:t>业绩证明材料应提供双方合同复印件，合同内容应包括但不限于：双方单位名称、委托金额、委托内容等</w:t>
      </w:r>
      <w:r>
        <w:rPr>
          <w:sz w:val="24"/>
          <w:lang w:val="zh-CN"/>
        </w:rPr>
        <w:t>）</w:t>
      </w:r>
    </w:p>
    <w:p>
      <w:pPr>
        <w:spacing w:line="360" w:lineRule="auto"/>
        <w:ind w:right="-57" w:rightChars="-27"/>
        <w:jc w:val="left"/>
        <w:rPr>
          <w:sz w:val="24"/>
          <w:lang w:val="zh-CN"/>
        </w:rPr>
      </w:pPr>
    </w:p>
    <w:p>
      <w:pPr>
        <w:spacing w:line="360" w:lineRule="auto"/>
        <w:outlineLvl w:val="2"/>
        <w:rPr>
          <w:sz w:val="24"/>
        </w:rPr>
      </w:pPr>
      <w:bookmarkStart w:id="1100" w:name="_Toc33442496"/>
      <w:bookmarkStart w:id="1101" w:name="_Toc68707668"/>
      <w:r>
        <w:rPr>
          <w:color w:val="000000"/>
          <w:sz w:val="24"/>
          <w:szCs w:val="20"/>
        </w:rPr>
        <w:br w:type="page"/>
      </w:r>
      <w:bookmarkEnd w:id="1100"/>
      <w:bookmarkEnd w:id="1101"/>
    </w:p>
    <w:p>
      <w:pPr>
        <w:spacing w:line="360" w:lineRule="auto"/>
        <w:outlineLvl w:val="2"/>
        <w:rPr>
          <w:color w:val="000000"/>
          <w:sz w:val="24"/>
          <w:szCs w:val="20"/>
        </w:rPr>
      </w:pPr>
      <w:bookmarkStart w:id="1102" w:name="_Toc68707670"/>
      <w:r>
        <w:rPr>
          <w:rFonts w:hint="eastAsia"/>
          <w:color w:val="000000"/>
          <w:sz w:val="24"/>
          <w:szCs w:val="20"/>
        </w:rPr>
        <w:t xml:space="preserve">10 </w:t>
      </w:r>
      <w:r>
        <w:rPr>
          <w:color w:val="000000"/>
          <w:sz w:val="24"/>
          <w:szCs w:val="20"/>
        </w:rPr>
        <w:t>技术文件</w:t>
      </w:r>
      <w:bookmarkEnd w:id="1102"/>
    </w:p>
    <w:p>
      <w:pPr>
        <w:spacing w:line="360" w:lineRule="auto"/>
        <w:ind w:left="420" w:right="-57" w:rightChars="-27"/>
      </w:pPr>
    </w:p>
    <w:p>
      <w:pPr>
        <w:spacing w:line="360" w:lineRule="auto"/>
        <w:ind w:left="420" w:right="-57" w:rightChars="-27"/>
        <w:rPr>
          <w:sz w:val="24"/>
          <w:highlight w:val="none"/>
        </w:rPr>
      </w:pPr>
      <w:r>
        <w:rPr>
          <w:sz w:val="24"/>
        </w:rPr>
        <w:t>注： 包</w:t>
      </w:r>
      <w:r>
        <w:rPr>
          <w:sz w:val="24"/>
          <w:highlight w:val="none"/>
        </w:rPr>
        <w:t>括但不限于以下部分</w:t>
      </w:r>
    </w:p>
    <w:p>
      <w:pPr>
        <w:pStyle w:val="120"/>
        <w:spacing w:line="360" w:lineRule="auto"/>
        <w:ind w:left="1353" w:right="-57" w:rightChars="-27" w:firstLine="0" w:firstLineChars="0"/>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lang w:val="en-US" w:eastAsia="zh-CN"/>
        </w:rPr>
        <w:t>人员团队配备方案</w:t>
      </w:r>
    </w:p>
    <w:p>
      <w:pPr>
        <w:pStyle w:val="120"/>
        <w:spacing w:line="360" w:lineRule="auto"/>
        <w:ind w:left="1353" w:right="-57" w:rightChars="-27" w:firstLine="0" w:firstLineChars="0"/>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lang w:val="en-US" w:eastAsia="zh-CN"/>
        </w:rPr>
        <w:t>项目实施方案</w:t>
      </w:r>
    </w:p>
    <w:p>
      <w:pPr>
        <w:pStyle w:val="120"/>
        <w:spacing w:line="360" w:lineRule="auto"/>
        <w:ind w:left="1353" w:right="-57" w:rightChars="-27" w:firstLine="0" w:firstLineChars="0"/>
        <w:rPr>
          <w:rFonts w:hint="eastAsia" w:ascii="Times New Roman" w:hAnsi="Times New Roman"/>
          <w:sz w:val="24"/>
          <w:szCs w:val="24"/>
          <w:highlight w:val="none"/>
        </w:rPr>
      </w:pPr>
      <w:r>
        <w:rPr>
          <w:rFonts w:hint="eastAsia" w:ascii="Times New Roman" w:hAnsi="Times New Roman"/>
          <w:sz w:val="24"/>
          <w:szCs w:val="24"/>
          <w:highlight w:val="none"/>
          <w:lang w:val="en-US" w:eastAsia="zh-CN"/>
        </w:rPr>
        <w:t>进度保证</w:t>
      </w:r>
      <w:r>
        <w:rPr>
          <w:rFonts w:hint="eastAsia" w:ascii="Times New Roman" w:hAnsi="Times New Roman"/>
          <w:sz w:val="24"/>
          <w:szCs w:val="24"/>
          <w:highlight w:val="none"/>
        </w:rPr>
        <w:t>方案</w:t>
      </w:r>
    </w:p>
    <w:p>
      <w:pPr>
        <w:pStyle w:val="120"/>
        <w:spacing w:line="360" w:lineRule="auto"/>
        <w:ind w:left="1353" w:right="-57" w:rightChars="-27" w:firstLine="0" w:firstLineChars="0"/>
        <w:rPr>
          <w:rFonts w:hint="eastAsia" w:ascii="Times New Roman" w:hAnsi="Times New Roman"/>
          <w:sz w:val="24"/>
          <w:szCs w:val="24"/>
          <w:highlight w:val="none"/>
        </w:rPr>
      </w:pPr>
      <w:r>
        <w:rPr>
          <w:rFonts w:hint="eastAsia" w:ascii="Times New Roman" w:hAnsi="Times New Roman"/>
          <w:sz w:val="24"/>
          <w:szCs w:val="24"/>
          <w:highlight w:val="none"/>
        </w:rPr>
        <w:t>技术支持与培训</w:t>
      </w:r>
    </w:p>
    <w:p>
      <w:pPr>
        <w:pStyle w:val="120"/>
        <w:spacing w:line="360" w:lineRule="auto"/>
        <w:ind w:left="1353" w:right="-57" w:rightChars="-27" w:firstLine="0" w:firstLineChars="0"/>
        <w:rPr>
          <w:rFonts w:ascii="Times New Roman" w:hAnsi="Times New Roman"/>
          <w:sz w:val="24"/>
          <w:szCs w:val="24"/>
          <w:highlight w:val="none"/>
        </w:rPr>
      </w:pPr>
      <w:r>
        <w:rPr>
          <w:rFonts w:hint="eastAsia" w:ascii="Times New Roman" w:hAnsi="Times New Roman"/>
          <w:sz w:val="24"/>
          <w:szCs w:val="24"/>
          <w:highlight w:val="none"/>
        </w:rPr>
        <w:t>售后服务方案</w:t>
      </w:r>
    </w:p>
    <w:p>
      <w:pPr>
        <w:pStyle w:val="120"/>
        <w:spacing w:line="360" w:lineRule="auto"/>
        <w:ind w:left="1353" w:right="-57" w:rightChars="-27" w:firstLine="0" w:firstLineChars="0"/>
        <w:rPr>
          <w:rFonts w:ascii="Times New Roman" w:hAnsi="Times New Roman"/>
          <w:highlight w:val="none"/>
        </w:rPr>
      </w:pPr>
    </w:p>
    <w:p>
      <w:pPr>
        <w:spacing w:line="360" w:lineRule="auto"/>
        <w:outlineLvl w:val="2"/>
        <w:rPr>
          <w:color w:val="000000"/>
          <w:sz w:val="24"/>
          <w:szCs w:val="20"/>
        </w:rPr>
      </w:pPr>
      <w:r>
        <w:rPr>
          <w:color w:val="000000"/>
          <w:sz w:val="24"/>
          <w:szCs w:val="20"/>
        </w:rPr>
        <w:br w:type="page"/>
      </w:r>
      <w:r>
        <w:rPr>
          <w:rFonts w:hint="eastAsia"/>
          <w:color w:val="000000"/>
          <w:sz w:val="24"/>
          <w:szCs w:val="20"/>
        </w:rPr>
        <w:t>11</w:t>
      </w:r>
      <w:r>
        <w:rPr>
          <w:color w:val="000000"/>
          <w:sz w:val="24"/>
          <w:szCs w:val="20"/>
        </w:rPr>
        <w:t xml:space="preserve">  招标文件要求提供或投标人认为应附的其他材料</w:t>
      </w:r>
    </w:p>
    <w:p>
      <w:pPr>
        <w:widowControl/>
        <w:jc w:val="left"/>
        <w:rPr>
          <w:sz w:val="24"/>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24"/>
          <w:lang w:val="en-US" w:eastAsia="zh-CN"/>
        </w:rPr>
      </w:pPr>
      <w:r>
        <w:rPr>
          <w:rFonts w:hint="eastAsia"/>
          <w:sz w:val="24"/>
          <w:lang w:val="en-US" w:eastAsia="zh-CN"/>
        </w:rPr>
        <w:t>资质证书（复印件，加盖公章）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 w:val="24"/>
          <w:lang w:val="en-US" w:eastAsia="zh-CN"/>
        </w:rPr>
      </w:pPr>
      <w:r>
        <w:rPr>
          <w:rFonts w:hint="eastAsia"/>
          <w:sz w:val="24"/>
          <w:lang w:val="en-US" w:eastAsia="zh-CN"/>
        </w:rPr>
        <w:t>承诺函（格式自拟，加盖公章）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sz w:val="24"/>
        </w:rPr>
      </w:pPr>
      <w:r>
        <w:rPr>
          <w:rFonts w:hint="eastAsia"/>
          <w:sz w:val="24"/>
        </w:rPr>
        <w:t>节能环保相关材料（如有）</w:t>
      </w:r>
    </w:p>
    <w:p>
      <w:pPr>
        <w:widowControl/>
        <w:jc w:val="left"/>
        <w:rPr>
          <w:b/>
          <w:sz w:val="36"/>
          <w:szCs w:val="36"/>
        </w:rPr>
      </w:pPr>
    </w:p>
    <w:sectPr>
      <w:headerReference r:id="rId14" w:type="first"/>
      <w:footerReference r:id="rId16" w:type="first"/>
      <w:headerReference r:id="rId13" w:type="even"/>
      <w:footerReference r:id="rId15"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30</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6"/>
      </w:rPr>
    </w:pPr>
    <w:r>
      <w:fldChar w:fldCharType="begin"/>
    </w:r>
    <w:r>
      <w:rPr>
        <w:rStyle w:val="46"/>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85</w:t>
    </w:r>
    <w: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6"/>
      </w:rPr>
    </w:pPr>
    <w:r>
      <w:fldChar w:fldCharType="begin"/>
    </w:r>
    <w:r>
      <w:rPr>
        <w:rStyle w:val="46"/>
      </w:rPr>
      <w:instrText xml:space="preserve">PAGE  </w:instrText>
    </w:r>
    <w:r>
      <w:fldChar w:fldCharType="end"/>
    </w:r>
  </w:p>
  <w:p>
    <w:pPr>
      <w:pStyle w:val="2"/>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6"/>
      </w:rPr>
    </w:pPr>
    <w:r>
      <w:fldChar w:fldCharType="begin"/>
    </w:r>
    <w:r>
      <w:rPr>
        <w:rStyle w:val="46"/>
      </w:rPr>
      <w:instrText xml:space="preserve">PAGE  </w:instrText>
    </w:r>
    <w:r>
      <w:fldChar w:fldCharType="end"/>
    </w:r>
  </w:p>
  <w:p>
    <w:pPr>
      <w:pStyle w:val="2"/>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6"/>
    <w:multiLevelType w:val="multilevel"/>
    <w:tmpl w:val="00000006"/>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4">
    <w:nsid w:val="088B71D6"/>
    <w:multiLevelType w:val="multilevel"/>
    <w:tmpl w:val="088B71D6"/>
    <w:lvl w:ilvl="0" w:tentative="0">
      <w:start w:val="1"/>
      <w:numFmt w:val="decimal"/>
      <w:lvlText w:val="%1）"/>
      <w:lvlJc w:val="left"/>
      <w:pPr>
        <w:ind w:left="360" w:hanging="360"/>
      </w:pPr>
      <w:rPr>
        <w:rFonts w:hint="default"/>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955594"/>
    <w:multiLevelType w:val="multilevel"/>
    <w:tmpl w:val="09955594"/>
    <w:lvl w:ilvl="0" w:tentative="0">
      <w:start w:val="17"/>
      <w:numFmt w:val="decimal"/>
      <w:lvlText w:val="%1"/>
      <w:lvlJc w:val="left"/>
      <w:pPr>
        <w:tabs>
          <w:tab w:val="left" w:pos="1042"/>
        </w:tabs>
        <w:ind w:left="1042" w:hanging="900"/>
      </w:pPr>
      <w:rPr>
        <w:rFonts w:hint="eastAsia"/>
      </w:rPr>
    </w:lvl>
    <w:lvl w:ilvl="1" w:tentative="0">
      <w:start w:val="1"/>
      <w:numFmt w:val="decimal"/>
      <w:lvlText w:val="%1.%2"/>
      <w:lvlJc w:val="left"/>
      <w:pPr>
        <w:tabs>
          <w:tab w:val="left" w:pos="1731"/>
        </w:tabs>
        <w:ind w:left="1610" w:hanging="900"/>
      </w:pPr>
      <w:rPr>
        <w:rFonts w:hint="default" w:ascii="Times New Roman" w:hAnsi="Times New Roman" w:cs="Times New Roman"/>
        <w:sz w:val="24"/>
        <w:szCs w:val="24"/>
      </w:rPr>
    </w:lvl>
    <w:lvl w:ilvl="2" w:tentative="0">
      <w:start w:val="1"/>
      <w:numFmt w:val="decimal"/>
      <w:lvlText w:val="%1.%2.%3"/>
      <w:lvlJc w:val="left"/>
      <w:pPr>
        <w:tabs>
          <w:tab w:val="left" w:pos="2122"/>
        </w:tabs>
        <w:ind w:left="2122" w:hanging="900"/>
      </w:pPr>
      <w:rPr>
        <w:rFonts w:hint="eastAsia"/>
      </w:rPr>
    </w:lvl>
    <w:lvl w:ilvl="3" w:tentative="0">
      <w:start w:val="1"/>
      <w:numFmt w:val="decimal"/>
      <w:lvlText w:val="%1.%2.%3.%4"/>
      <w:lvlJc w:val="left"/>
      <w:pPr>
        <w:tabs>
          <w:tab w:val="left" w:pos="1042"/>
        </w:tabs>
        <w:ind w:left="1042" w:hanging="900"/>
      </w:pPr>
      <w:rPr>
        <w:rFonts w:hint="eastAsia"/>
      </w:rPr>
    </w:lvl>
    <w:lvl w:ilvl="4" w:tentative="0">
      <w:start w:val="1"/>
      <w:numFmt w:val="decimal"/>
      <w:lvlText w:val="%1.%2.%3.%4.%5"/>
      <w:lvlJc w:val="left"/>
      <w:pPr>
        <w:tabs>
          <w:tab w:val="left" w:pos="1042"/>
        </w:tabs>
        <w:ind w:left="1042" w:hanging="900"/>
      </w:pPr>
      <w:rPr>
        <w:rFonts w:hint="eastAsia"/>
      </w:rPr>
    </w:lvl>
    <w:lvl w:ilvl="5" w:tentative="0">
      <w:start w:val="1"/>
      <w:numFmt w:val="decimal"/>
      <w:lvlText w:val="%1.%2.%3.%4.%5.%6"/>
      <w:lvlJc w:val="left"/>
      <w:pPr>
        <w:tabs>
          <w:tab w:val="left" w:pos="1042"/>
        </w:tabs>
        <w:ind w:left="1042" w:hanging="900"/>
      </w:pPr>
      <w:rPr>
        <w:rFonts w:hint="eastAsia"/>
      </w:rPr>
    </w:lvl>
    <w:lvl w:ilvl="6" w:tentative="0">
      <w:start w:val="1"/>
      <w:numFmt w:val="decimal"/>
      <w:lvlText w:val="%1.%2.%3.%4.%5.%6.%7"/>
      <w:lvlJc w:val="left"/>
      <w:pPr>
        <w:tabs>
          <w:tab w:val="left" w:pos="1042"/>
        </w:tabs>
        <w:ind w:left="1042" w:hanging="900"/>
      </w:pPr>
      <w:rPr>
        <w:rFonts w:hint="eastAsia"/>
      </w:rPr>
    </w:lvl>
    <w:lvl w:ilvl="7" w:tentative="0">
      <w:start w:val="1"/>
      <w:numFmt w:val="decimal"/>
      <w:lvlText w:val="%1.%2.%3.%4.%5.%6.%7.%8"/>
      <w:lvlJc w:val="left"/>
      <w:pPr>
        <w:tabs>
          <w:tab w:val="left" w:pos="1042"/>
        </w:tabs>
        <w:ind w:left="1042" w:hanging="900"/>
      </w:pPr>
      <w:rPr>
        <w:rFonts w:hint="eastAsia"/>
      </w:rPr>
    </w:lvl>
    <w:lvl w:ilvl="8" w:tentative="0">
      <w:start w:val="1"/>
      <w:numFmt w:val="decimal"/>
      <w:lvlText w:val="%1.%2.%3.%4.%5.%6.%7.%8.%9"/>
      <w:lvlJc w:val="left"/>
      <w:pPr>
        <w:tabs>
          <w:tab w:val="left" w:pos="1042"/>
        </w:tabs>
        <w:ind w:left="1042" w:hanging="900"/>
      </w:pPr>
      <w:rPr>
        <w:rFonts w:hint="eastAsia"/>
      </w:rPr>
    </w:lvl>
  </w:abstractNum>
  <w:abstractNum w:abstractNumId="6">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3B305317"/>
    <w:multiLevelType w:val="multilevel"/>
    <w:tmpl w:val="3B305317"/>
    <w:lvl w:ilvl="0" w:tentative="0">
      <w:start w:val="15"/>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3">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A40F8CA"/>
    <w:multiLevelType w:val="singleLevel"/>
    <w:tmpl w:val="5A40F8CA"/>
    <w:lvl w:ilvl="0" w:tentative="0">
      <w:start w:val="1"/>
      <w:numFmt w:val="decimal"/>
      <w:suff w:val="nothing"/>
      <w:lvlText w:val="%1、"/>
      <w:lvlJc w:val="left"/>
      <w:rPr>
        <w:rFonts w:hint="default"/>
        <w:b w:val="0"/>
        <w:bCs w:val="0"/>
      </w:rPr>
    </w:lvl>
  </w:abstractNum>
  <w:abstractNum w:abstractNumId="15">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2"/>
  </w:num>
  <w:num w:numId="2">
    <w:abstractNumId w:val="8"/>
  </w:num>
  <w:num w:numId="3">
    <w:abstractNumId w:val="0"/>
  </w:num>
  <w:num w:numId="4">
    <w:abstractNumId w:val="10"/>
  </w:num>
  <w:num w:numId="5">
    <w:abstractNumId w:val="5"/>
  </w:num>
  <w:num w:numId="6">
    <w:abstractNumId w:val="11"/>
  </w:num>
  <w:num w:numId="7">
    <w:abstractNumId w:val="6"/>
  </w:num>
  <w:num w:numId="8">
    <w:abstractNumId w:val="15"/>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9"/>
  </w:num>
  <w:num w:numId="14">
    <w:abstractNumId w:val="12"/>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NkNWE0ZDQxNTExM2FjNWFiN2VjYTUxNzFkNTQ3YW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8B7"/>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7ED"/>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4FB1"/>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D87"/>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2F"/>
    <w:rsid w:val="00060E85"/>
    <w:rsid w:val="00060FB3"/>
    <w:rsid w:val="00061003"/>
    <w:rsid w:val="0006108C"/>
    <w:rsid w:val="0006142A"/>
    <w:rsid w:val="00061819"/>
    <w:rsid w:val="00061DD1"/>
    <w:rsid w:val="00061EF5"/>
    <w:rsid w:val="00061F68"/>
    <w:rsid w:val="000620CE"/>
    <w:rsid w:val="0006234D"/>
    <w:rsid w:val="0006238F"/>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354"/>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04A"/>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5D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00"/>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C58"/>
    <w:rsid w:val="000B6D6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94D"/>
    <w:rsid w:val="000C7E46"/>
    <w:rsid w:val="000D02EB"/>
    <w:rsid w:val="000D0723"/>
    <w:rsid w:val="000D07F4"/>
    <w:rsid w:val="000D0D09"/>
    <w:rsid w:val="000D0E8B"/>
    <w:rsid w:val="000D0F36"/>
    <w:rsid w:val="000D0F46"/>
    <w:rsid w:val="000D11FA"/>
    <w:rsid w:val="000D144A"/>
    <w:rsid w:val="000D16DF"/>
    <w:rsid w:val="000D1752"/>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5D7"/>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CB6"/>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2EA"/>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3D"/>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96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7B4"/>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4F5"/>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0C6"/>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66A"/>
    <w:rsid w:val="001B1C0B"/>
    <w:rsid w:val="001B1D06"/>
    <w:rsid w:val="001B2015"/>
    <w:rsid w:val="001B2049"/>
    <w:rsid w:val="001B2067"/>
    <w:rsid w:val="001B231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6A4"/>
    <w:rsid w:val="001C172A"/>
    <w:rsid w:val="001C1A12"/>
    <w:rsid w:val="001C1AE9"/>
    <w:rsid w:val="001C1B8B"/>
    <w:rsid w:val="001C1E53"/>
    <w:rsid w:val="001C2145"/>
    <w:rsid w:val="001C255E"/>
    <w:rsid w:val="001C2695"/>
    <w:rsid w:val="001C298C"/>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3"/>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C83"/>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041"/>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2CE7"/>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1C1"/>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764"/>
    <w:rsid w:val="00225CC1"/>
    <w:rsid w:val="00225D5A"/>
    <w:rsid w:val="00225D96"/>
    <w:rsid w:val="00225DBE"/>
    <w:rsid w:val="00225FE5"/>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714"/>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C9F"/>
    <w:rsid w:val="00263D03"/>
    <w:rsid w:val="002642DE"/>
    <w:rsid w:val="002643A5"/>
    <w:rsid w:val="002644E1"/>
    <w:rsid w:val="00264548"/>
    <w:rsid w:val="002645A8"/>
    <w:rsid w:val="00264704"/>
    <w:rsid w:val="00264782"/>
    <w:rsid w:val="0026480F"/>
    <w:rsid w:val="00264900"/>
    <w:rsid w:val="00264B24"/>
    <w:rsid w:val="00264B40"/>
    <w:rsid w:val="00264B60"/>
    <w:rsid w:val="00264CFA"/>
    <w:rsid w:val="002654F2"/>
    <w:rsid w:val="00265791"/>
    <w:rsid w:val="00265EFB"/>
    <w:rsid w:val="002664C4"/>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871"/>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F6"/>
    <w:rsid w:val="002826C3"/>
    <w:rsid w:val="00282F4A"/>
    <w:rsid w:val="00283031"/>
    <w:rsid w:val="002832A6"/>
    <w:rsid w:val="002834E4"/>
    <w:rsid w:val="002837B1"/>
    <w:rsid w:val="00283AA1"/>
    <w:rsid w:val="00283C48"/>
    <w:rsid w:val="00283D5E"/>
    <w:rsid w:val="00283E2E"/>
    <w:rsid w:val="00283ED2"/>
    <w:rsid w:val="00283FC0"/>
    <w:rsid w:val="0028410C"/>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61B"/>
    <w:rsid w:val="00292ACA"/>
    <w:rsid w:val="00292D49"/>
    <w:rsid w:val="00292E74"/>
    <w:rsid w:val="00293497"/>
    <w:rsid w:val="00293919"/>
    <w:rsid w:val="002939AF"/>
    <w:rsid w:val="00293BA4"/>
    <w:rsid w:val="00293D57"/>
    <w:rsid w:val="00293F96"/>
    <w:rsid w:val="0029467E"/>
    <w:rsid w:val="00294765"/>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3D6"/>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7D8"/>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CC"/>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1F8"/>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60"/>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856"/>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2A8"/>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98"/>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2C07"/>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83"/>
    <w:rsid w:val="003354C8"/>
    <w:rsid w:val="00335800"/>
    <w:rsid w:val="00335849"/>
    <w:rsid w:val="003359B9"/>
    <w:rsid w:val="00335C2F"/>
    <w:rsid w:val="00335C95"/>
    <w:rsid w:val="00335D6F"/>
    <w:rsid w:val="00335E33"/>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59A"/>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6BC"/>
    <w:rsid w:val="00367792"/>
    <w:rsid w:val="0036786B"/>
    <w:rsid w:val="00367A78"/>
    <w:rsid w:val="00367FC6"/>
    <w:rsid w:val="00370001"/>
    <w:rsid w:val="00370045"/>
    <w:rsid w:val="0037011B"/>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97F37"/>
    <w:rsid w:val="003A03C1"/>
    <w:rsid w:val="003A0486"/>
    <w:rsid w:val="003A057E"/>
    <w:rsid w:val="003A05AA"/>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DAA"/>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07"/>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EC3"/>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7C7"/>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67"/>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B33"/>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6FEF"/>
    <w:rsid w:val="00416FF9"/>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883"/>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749"/>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0D9"/>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9D5"/>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27"/>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572"/>
    <w:rsid w:val="004F0731"/>
    <w:rsid w:val="004F0747"/>
    <w:rsid w:val="004F0834"/>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07"/>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29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2A"/>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6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10"/>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79"/>
    <w:rsid w:val="00585D87"/>
    <w:rsid w:val="00585DE7"/>
    <w:rsid w:val="00585ECD"/>
    <w:rsid w:val="005863A7"/>
    <w:rsid w:val="005864DF"/>
    <w:rsid w:val="00586571"/>
    <w:rsid w:val="005865DE"/>
    <w:rsid w:val="005865EA"/>
    <w:rsid w:val="005866D5"/>
    <w:rsid w:val="00586D23"/>
    <w:rsid w:val="00586F1B"/>
    <w:rsid w:val="0058716D"/>
    <w:rsid w:val="005872C1"/>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B1F"/>
    <w:rsid w:val="00593C7C"/>
    <w:rsid w:val="00593D33"/>
    <w:rsid w:val="00594208"/>
    <w:rsid w:val="00594264"/>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9F6"/>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C95"/>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D8E"/>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A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42"/>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B47"/>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399"/>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37F31"/>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3FC"/>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A46"/>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AAC"/>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5C5"/>
    <w:rsid w:val="00690722"/>
    <w:rsid w:val="00690740"/>
    <w:rsid w:val="00690D91"/>
    <w:rsid w:val="006910B2"/>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D24"/>
    <w:rsid w:val="006C4E9A"/>
    <w:rsid w:val="006C512C"/>
    <w:rsid w:val="006C52A4"/>
    <w:rsid w:val="006C55E2"/>
    <w:rsid w:val="006C5614"/>
    <w:rsid w:val="006C57DE"/>
    <w:rsid w:val="006C58ED"/>
    <w:rsid w:val="006C5CD9"/>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D21"/>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11"/>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50"/>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DD0"/>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3EE"/>
    <w:rsid w:val="00717492"/>
    <w:rsid w:val="00717662"/>
    <w:rsid w:val="007176FD"/>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54D"/>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2A1"/>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EEE"/>
    <w:rsid w:val="00740F28"/>
    <w:rsid w:val="00741013"/>
    <w:rsid w:val="007419EE"/>
    <w:rsid w:val="00741A5E"/>
    <w:rsid w:val="00741CCC"/>
    <w:rsid w:val="00741F59"/>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48A"/>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E33"/>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8E3"/>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0F"/>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8D2"/>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564"/>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B3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B68"/>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1F0"/>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1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A20"/>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761"/>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291"/>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17C"/>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2F5"/>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AE"/>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2A"/>
    <w:rsid w:val="00881536"/>
    <w:rsid w:val="00881A5B"/>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10"/>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25"/>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1E3"/>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4DCF"/>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1B"/>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5"/>
    <w:rsid w:val="008E6DA9"/>
    <w:rsid w:val="008E7545"/>
    <w:rsid w:val="008F0102"/>
    <w:rsid w:val="008F01F5"/>
    <w:rsid w:val="008F047D"/>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AF4"/>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01"/>
    <w:rsid w:val="00923034"/>
    <w:rsid w:val="009231DA"/>
    <w:rsid w:val="00923234"/>
    <w:rsid w:val="0092337F"/>
    <w:rsid w:val="00923842"/>
    <w:rsid w:val="009238E8"/>
    <w:rsid w:val="009239EC"/>
    <w:rsid w:val="00923C11"/>
    <w:rsid w:val="00923CEE"/>
    <w:rsid w:val="00923DA7"/>
    <w:rsid w:val="009241DF"/>
    <w:rsid w:val="009245BA"/>
    <w:rsid w:val="009245BB"/>
    <w:rsid w:val="00924790"/>
    <w:rsid w:val="00924837"/>
    <w:rsid w:val="00924A63"/>
    <w:rsid w:val="00924B35"/>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B4F"/>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A7"/>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505"/>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399"/>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218"/>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6C89"/>
    <w:rsid w:val="0099735C"/>
    <w:rsid w:val="00997395"/>
    <w:rsid w:val="00997495"/>
    <w:rsid w:val="0099762E"/>
    <w:rsid w:val="0099780B"/>
    <w:rsid w:val="0099785E"/>
    <w:rsid w:val="00997E5D"/>
    <w:rsid w:val="009A021D"/>
    <w:rsid w:val="009A0512"/>
    <w:rsid w:val="009A0D3B"/>
    <w:rsid w:val="009A0EBF"/>
    <w:rsid w:val="009A0F97"/>
    <w:rsid w:val="009A133D"/>
    <w:rsid w:val="009A139E"/>
    <w:rsid w:val="009A151C"/>
    <w:rsid w:val="009A1919"/>
    <w:rsid w:val="009A19F0"/>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8F9"/>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3C93"/>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1DC"/>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3D7B"/>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391"/>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59"/>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68"/>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47"/>
    <w:rsid w:val="00A43AF2"/>
    <w:rsid w:val="00A43C50"/>
    <w:rsid w:val="00A43C6F"/>
    <w:rsid w:val="00A43D46"/>
    <w:rsid w:val="00A43ED8"/>
    <w:rsid w:val="00A443B8"/>
    <w:rsid w:val="00A44732"/>
    <w:rsid w:val="00A44789"/>
    <w:rsid w:val="00A44897"/>
    <w:rsid w:val="00A449CD"/>
    <w:rsid w:val="00A44B68"/>
    <w:rsid w:val="00A452EA"/>
    <w:rsid w:val="00A453B6"/>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7B0"/>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265"/>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3B2"/>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B8"/>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9BD"/>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CC7"/>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108"/>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711"/>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0C32"/>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495"/>
    <w:rsid w:val="00BA15B9"/>
    <w:rsid w:val="00BA1913"/>
    <w:rsid w:val="00BA198C"/>
    <w:rsid w:val="00BA1C33"/>
    <w:rsid w:val="00BA1DA0"/>
    <w:rsid w:val="00BA1DF1"/>
    <w:rsid w:val="00BA1F19"/>
    <w:rsid w:val="00BA1FBE"/>
    <w:rsid w:val="00BA2364"/>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B7"/>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6ED9"/>
    <w:rsid w:val="00BC703D"/>
    <w:rsid w:val="00BC721C"/>
    <w:rsid w:val="00BC7362"/>
    <w:rsid w:val="00BC75DF"/>
    <w:rsid w:val="00BC7825"/>
    <w:rsid w:val="00BC7915"/>
    <w:rsid w:val="00BC79A7"/>
    <w:rsid w:val="00BC7A40"/>
    <w:rsid w:val="00BC7AE1"/>
    <w:rsid w:val="00BC7E8F"/>
    <w:rsid w:val="00BC7EA1"/>
    <w:rsid w:val="00BC7EC1"/>
    <w:rsid w:val="00BC7FF8"/>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08"/>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9F8"/>
    <w:rsid w:val="00BD6CD9"/>
    <w:rsid w:val="00BD6D6D"/>
    <w:rsid w:val="00BD7023"/>
    <w:rsid w:val="00BD720C"/>
    <w:rsid w:val="00BD7317"/>
    <w:rsid w:val="00BD732A"/>
    <w:rsid w:val="00BD7D97"/>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1FFE"/>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C66"/>
    <w:rsid w:val="00BF2D63"/>
    <w:rsid w:val="00BF2F0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5FC3"/>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18"/>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C4E"/>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3EE"/>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5AE"/>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0F"/>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00"/>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7D"/>
    <w:rsid w:val="00C835F4"/>
    <w:rsid w:val="00C83690"/>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DA"/>
    <w:rsid w:val="00CA17E9"/>
    <w:rsid w:val="00CA1851"/>
    <w:rsid w:val="00CA18FF"/>
    <w:rsid w:val="00CA1FE9"/>
    <w:rsid w:val="00CA22DA"/>
    <w:rsid w:val="00CA2A3F"/>
    <w:rsid w:val="00CA2B16"/>
    <w:rsid w:val="00CA2ED6"/>
    <w:rsid w:val="00CA2EF0"/>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0E4"/>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09"/>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4D6"/>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AA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372"/>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664"/>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9BA"/>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19E0"/>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9D"/>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EA8"/>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42"/>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EDB"/>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74"/>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9E2"/>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2F"/>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5FF5"/>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65B"/>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0D7"/>
    <w:rsid w:val="00E2711E"/>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6CDC"/>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0D25"/>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D3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0FC"/>
    <w:rsid w:val="00E803F4"/>
    <w:rsid w:val="00E80409"/>
    <w:rsid w:val="00E80BC2"/>
    <w:rsid w:val="00E80C1B"/>
    <w:rsid w:val="00E80D88"/>
    <w:rsid w:val="00E80EA1"/>
    <w:rsid w:val="00E80F72"/>
    <w:rsid w:val="00E81056"/>
    <w:rsid w:val="00E810B2"/>
    <w:rsid w:val="00E8118B"/>
    <w:rsid w:val="00E81272"/>
    <w:rsid w:val="00E8178F"/>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3B"/>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361"/>
    <w:rsid w:val="00EC1494"/>
    <w:rsid w:val="00EC1572"/>
    <w:rsid w:val="00EC158A"/>
    <w:rsid w:val="00EC1743"/>
    <w:rsid w:val="00EC17D1"/>
    <w:rsid w:val="00EC1993"/>
    <w:rsid w:val="00EC19AE"/>
    <w:rsid w:val="00EC1EE6"/>
    <w:rsid w:val="00EC1F24"/>
    <w:rsid w:val="00EC2123"/>
    <w:rsid w:val="00EC2189"/>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77F"/>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22A"/>
    <w:rsid w:val="00EF04DF"/>
    <w:rsid w:val="00EF0539"/>
    <w:rsid w:val="00EF0559"/>
    <w:rsid w:val="00EF086C"/>
    <w:rsid w:val="00EF0A90"/>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1F"/>
    <w:rsid w:val="00F01BAB"/>
    <w:rsid w:val="00F020E4"/>
    <w:rsid w:val="00F02245"/>
    <w:rsid w:val="00F025AA"/>
    <w:rsid w:val="00F026AE"/>
    <w:rsid w:val="00F028DD"/>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44"/>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17E13"/>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3"/>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854"/>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11"/>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279"/>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6F0F"/>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5AB"/>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CE6"/>
    <w:rsid w:val="00FD4E0F"/>
    <w:rsid w:val="00FD4FA0"/>
    <w:rsid w:val="00FD4FDD"/>
    <w:rsid w:val="00FD5006"/>
    <w:rsid w:val="00FD51EA"/>
    <w:rsid w:val="00FD56D4"/>
    <w:rsid w:val="00FD583C"/>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E7EE7"/>
    <w:rsid w:val="00FF018D"/>
    <w:rsid w:val="00FF01B0"/>
    <w:rsid w:val="00FF029E"/>
    <w:rsid w:val="00FF034B"/>
    <w:rsid w:val="00FF03B0"/>
    <w:rsid w:val="00FF0403"/>
    <w:rsid w:val="00FF0655"/>
    <w:rsid w:val="00FF0961"/>
    <w:rsid w:val="00FF09F9"/>
    <w:rsid w:val="00FF0C30"/>
    <w:rsid w:val="00FF1007"/>
    <w:rsid w:val="00FF118F"/>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26B0EAC"/>
    <w:rsid w:val="033334BC"/>
    <w:rsid w:val="042711AF"/>
    <w:rsid w:val="061D71C5"/>
    <w:rsid w:val="07ED0962"/>
    <w:rsid w:val="09A97F39"/>
    <w:rsid w:val="0A652B06"/>
    <w:rsid w:val="0B0009AC"/>
    <w:rsid w:val="0B1F52D6"/>
    <w:rsid w:val="0B660C1A"/>
    <w:rsid w:val="0DAB4BFF"/>
    <w:rsid w:val="0DDC74AE"/>
    <w:rsid w:val="13315BA7"/>
    <w:rsid w:val="15C70A44"/>
    <w:rsid w:val="173319F9"/>
    <w:rsid w:val="175D340E"/>
    <w:rsid w:val="17F93E0B"/>
    <w:rsid w:val="19E219DA"/>
    <w:rsid w:val="1C455CA5"/>
    <w:rsid w:val="1D2C69D2"/>
    <w:rsid w:val="1DD106B2"/>
    <w:rsid w:val="1F5B1708"/>
    <w:rsid w:val="225D0766"/>
    <w:rsid w:val="239E00B4"/>
    <w:rsid w:val="251E74A4"/>
    <w:rsid w:val="27843CE5"/>
    <w:rsid w:val="30201025"/>
    <w:rsid w:val="31094866"/>
    <w:rsid w:val="311C79E8"/>
    <w:rsid w:val="325B20CE"/>
    <w:rsid w:val="329F4483"/>
    <w:rsid w:val="32EB653A"/>
    <w:rsid w:val="33062754"/>
    <w:rsid w:val="331309CD"/>
    <w:rsid w:val="39311D48"/>
    <w:rsid w:val="3BCB6780"/>
    <w:rsid w:val="3C011D0B"/>
    <w:rsid w:val="3F630DFA"/>
    <w:rsid w:val="42CD0A98"/>
    <w:rsid w:val="431A0C09"/>
    <w:rsid w:val="439711A6"/>
    <w:rsid w:val="44C85ABB"/>
    <w:rsid w:val="480E2158"/>
    <w:rsid w:val="4B65373A"/>
    <w:rsid w:val="4B8D35BB"/>
    <w:rsid w:val="4D00163A"/>
    <w:rsid w:val="4E616639"/>
    <w:rsid w:val="4F0F5BE3"/>
    <w:rsid w:val="52422029"/>
    <w:rsid w:val="54B90F7D"/>
    <w:rsid w:val="55040901"/>
    <w:rsid w:val="553721D6"/>
    <w:rsid w:val="56DF05DE"/>
    <w:rsid w:val="56F70118"/>
    <w:rsid w:val="575C02E5"/>
    <w:rsid w:val="57FC6189"/>
    <w:rsid w:val="59510F5A"/>
    <w:rsid w:val="5AB43C54"/>
    <w:rsid w:val="5F073306"/>
    <w:rsid w:val="5F5F73B9"/>
    <w:rsid w:val="62F67840"/>
    <w:rsid w:val="63C416EC"/>
    <w:rsid w:val="65F75D04"/>
    <w:rsid w:val="6838144E"/>
    <w:rsid w:val="68AA7398"/>
    <w:rsid w:val="68E17754"/>
    <w:rsid w:val="6F97D24A"/>
    <w:rsid w:val="7196042B"/>
    <w:rsid w:val="719C5A56"/>
    <w:rsid w:val="71E909FE"/>
    <w:rsid w:val="742C597A"/>
    <w:rsid w:val="7700702D"/>
    <w:rsid w:val="77387FCF"/>
    <w:rsid w:val="78827754"/>
    <w:rsid w:val="78F00464"/>
    <w:rsid w:val="79450781"/>
    <w:rsid w:val="7A5B64AE"/>
    <w:rsid w:val="7BC506FF"/>
    <w:rsid w:val="7F97D7F2"/>
    <w:rsid w:val="7FA02BB5"/>
    <w:rsid w:val="A6FEB8E8"/>
    <w:rsid w:val="B85FDB83"/>
    <w:rsid w:val="C1BF7C39"/>
    <w:rsid w:val="C4BD4666"/>
    <w:rsid w:val="CFFB821F"/>
    <w:rsid w:val="DAF67373"/>
    <w:rsid w:val="DC7C6527"/>
    <w:rsid w:val="DEE73C2B"/>
    <w:rsid w:val="EBA7250A"/>
    <w:rsid w:val="EDFF1E69"/>
    <w:rsid w:val="EF7CB3D9"/>
    <w:rsid w:val="F5E7B062"/>
    <w:rsid w:val="F9F3A651"/>
    <w:rsid w:val="FDC4F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7"/>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107"/>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93"/>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121"/>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118"/>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92"/>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91"/>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90"/>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05"/>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3"/>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Normal Indent"/>
    <w:basedOn w:val="1"/>
    <w:link w:val="102"/>
    <w:autoRedefine/>
    <w:qFormat/>
    <w:uiPriority w:val="0"/>
    <w:pPr>
      <w:autoSpaceDE w:val="0"/>
      <w:autoSpaceDN w:val="0"/>
      <w:adjustRightInd w:val="0"/>
      <w:ind w:firstLine="420"/>
      <w:jc w:val="left"/>
    </w:pPr>
    <w:rPr>
      <w:rFonts w:ascii="宋体"/>
      <w:sz w:val="24"/>
    </w:rPr>
  </w:style>
  <w:style w:type="paragraph" w:styleId="13">
    <w:name w:val="toc 7"/>
    <w:basedOn w:val="1"/>
    <w:next w:val="1"/>
    <w:autoRedefine/>
    <w:qFormat/>
    <w:uiPriority w:val="0"/>
    <w:pPr>
      <w:ind w:left="2520" w:leftChars="1200"/>
    </w:pPr>
  </w:style>
  <w:style w:type="paragraph" w:styleId="14">
    <w:name w:val="caption"/>
    <w:basedOn w:val="1"/>
    <w:next w:val="1"/>
    <w:autoRedefine/>
    <w:qFormat/>
    <w:uiPriority w:val="0"/>
    <w:pPr>
      <w:spacing w:line="480" w:lineRule="auto"/>
    </w:pPr>
    <w:rPr>
      <w:rFonts w:ascii="华文中宋" w:hAnsi="华文中宋" w:eastAsia="华文中宋"/>
      <w:sz w:val="36"/>
      <w:szCs w:val="20"/>
    </w:rPr>
  </w:style>
  <w:style w:type="paragraph" w:styleId="15">
    <w:name w:val="Document Map"/>
    <w:basedOn w:val="1"/>
    <w:link w:val="101"/>
    <w:autoRedefine/>
    <w:qFormat/>
    <w:uiPriority w:val="0"/>
    <w:pPr>
      <w:shd w:val="clear" w:color="auto" w:fill="000080"/>
    </w:pPr>
  </w:style>
  <w:style w:type="paragraph" w:styleId="16">
    <w:name w:val="annotation text"/>
    <w:basedOn w:val="1"/>
    <w:link w:val="89"/>
    <w:autoRedefine/>
    <w:qFormat/>
    <w:uiPriority w:val="99"/>
    <w:pPr>
      <w:jc w:val="left"/>
    </w:pPr>
  </w:style>
  <w:style w:type="paragraph" w:styleId="17">
    <w:name w:val="Body Text 3"/>
    <w:basedOn w:val="1"/>
    <w:link w:val="88"/>
    <w:autoRedefine/>
    <w:qFormat/>
    <w:uiPriority w:val="0"/>
    <w:pPr>
      <w:spacing w:after="120"/>
    </w:pPr>
    <w:rPr>
      <w:sz w:val="16"/>
      <w:szCs w:val="16"/>
    </w:rPr>
  </w:style>
  <w:style w:type="paragraph" w:styleId="18">
    <w:name w:val="Body Text"/>
    <w:basedOn w:val="1"/>
    <w:link w:val="87"/>
    <w:autoRedefine/>
    <w:qFormat/>
    <w:uiPriority w:val="0"/>
    <w:pPr>
      <w:tabs>
        <w:tab w:val="left" w:pos="567"/>
      </w:tabs>
      <w:spacing w:before="120" w:line="22" w:lineRule="atLeast"/>
    </w:pPr>
    <w:rPr>
      <w:rFonts w:ascii="宋体" w:hAnsi="宋体"/>
      <w:sz w:val="24"/>
    </w:rPr>
  </w:style>
  <w:style w:type="paragraph" w:styleId="19">
    <w:name w:val="Body Text Indent"/>
    <w:basedOn w:val="1"/>
    <w:link w:val="115"/>
    <w:autoRedefine/>
    <w:qFormat/>
    <w:uiPriority w:val="0"/>
    <w:pPr>
      <w:spacing w:line="360" w:lineRule="auto"/>
      <w:ind w:firstLine="570"/>
    </w:pPr>
    <w:rPr>
      <w:sz w:val="24"/>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widowControl/>
      <w:ind w:left="480" w:right="-341" w:firstLine="513"/>
    </w:pPr>
    <w:rPr>
      <w:kern w:val="0"/>
      <w:sz w:val="24"/>
      <w:szCs w:val="20"/>
    </w:rPr>
  </w:style>
  <w:style w:type="paragraph" w:styleId="22">
    <w:name w:val="toc 5"/>
    <w:basedOn w:val="1"/>
    <w:next w:val="1"/>
    <w:autoRedefine/>
    <w:qFormat/>
    <w:uiPriority w:val="0"/>
    <w:pPr>
      <w:ind w:left="1680" w:leftChars="800"/>
    </w:pPr>
  </w:style>
  <w:style w:type="paragraph" w:styleId="23">
    <w:name w:val="toc 3"/>
    <w:basedOn w:val="1"/>
    <w:next w:val="1"/>
    <w:autoRedefine/>
    <w:qFormat/>
    <w:uiPriority w:val="39"/>
    <w:pPr>
      <w:ind w:left="840" w:leftChars="400"/>
    </w:pPr>
  </w:style>
  <w:style w:type="paragraph" w:styleId="24">
    <w:name w:val="Plain Text"/>
    <w:basedOn w:val="1"/>
    <w:link w:val="86"/>
    <w:autoRedefine/>
    <w:qFormat/>
    <w:uiPriority w:val="0"/>
    <w:rPr>
      <w:rFonts w:hint="eastAsia" w:ascii="宋体" w:hAnsi="Courier New"/>
      <w:szCs w:val="20"/>
    </w:rPr>
  </w:style>
  <w:style w:type="paragraph" w:styleId="25">
    <w:name w:val="toc 8"/>
    <w:basedOn w:val="1"/>
    <w:next w:val="1"/>
    <w:autoRedefine/>
    <w:qFormat/>
    <w:uiPriority w:val="0"/>
    <w:pPr>
      <w:ind w:left="2940" w:leftChars="1400"/>
    </w:pPr>
  </w:style>
  <w:style w:type="paragraph" w:styleId="26">
    <w:name w:val="Date"/>
    <w:basedOn w:val="1"/>
    <w:next w:val="1"/>
    <w:link w:val="108"/>
    <w:autoRedefine/>
    <w:qFormat/>
    <w:uiPriority w:val="0"/>
    <w:pPr>
      <w:ind w:left="100" w:leftChars="2500"/>
    </w:pPr>
    <w:rPr>
      <w:rFonts w:ascii="仿宋_GB2312" w:hAnsi="宋体" w:eastAsia="仿宋_GB2312"/>
      <w:color w:val="000000"/>
      <w:sz w:val="24"/>
    </w:rPr>
  </w:style>
  <w:style w:type="paragraph" w:styleId="27">
    <w:name w:val="Body Text Indent 2"/>
    <w:basedOn w:val="1"/>
    <w:link w:val="96"/>
    <w:autoRedefine/>
    <w:qFormat/>
    <w:uiPriority w:val="0"/>
    <w:pPr>
      <w:ind w:firstLine="480" w:firstLineChars="200"/>
    </w:pPr>
    <w:rPr>
      <w:rFonts w:ascii="仿宋_GB2312" w:eastAsia="仿宋_GB2312"/>
      <w:sz w:val="24"/>
    </w:rPr>
  </w:style>
  <w:style w:type="paragraph" w:styleId="28">
    <w:name w:val="Balloon Text"/>
    <w:basedOn w:val="1"/>
    <w:link w:val="85"/>
    <w:autoRedefine/>
    <w:qFormat/>
    <w:uiPriority w:val="0"/>
    <w:rPr>
      <w:sz w:val="18"/>
      <w:szCs w:val="18"/>
    </w:rPr>
  </w:style>
  <w:style w:type="paragraph" w:styleId="29">
    <w:name w:val="header"/>
    <w:basedOn w:val="1"/>
    <w:link w:val="122"/>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autoRedefine/>
    <w:qFormat/>
    <w:uiPriority w:val="0"/>
    <w:pPr>
      <w:ind w:left="1260" w:leftChars="600"/>
    </w:pPr>
  </w:style>
  <w:style w:type="paragraph" w:styleId="32">
    <w:name w:val="toc 6"/>
    <w:basedOn w:val="1"/>
    <w:next w:val="1"/>
    <w:autoRedefine/>
    <w:qFormat/>
    <w:uiPriority w:val="0"/>
    <w:pPr>
      <w:ind w:left="2100" w:leftChars="1000"/>
    </w:pPr>
  </w:style>
  <w:style w:type="paragraph" w:styleId="33">
    <w:name w:val="Body Text Indent 3"/>
    <w:basedOn w:val="1"/>
    <w:link w:val="84"/>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autoRedefine/>
    <w:qFormat/>
    <w:uiPriority w:val="39"/>
    <w:pPr>
      <w:tabs>
        <w:tab w:val="right" w:leader="dot" w:pos="8937"/>
      </w:tabs>
      <w:spacing w:line="312" w:lineRule="auto"/>
      <w:ind w:left="420" w:leftChars="200"/>
    </w:pPr>
  </w:style>
  <w:style w:type="paragraph" w:styleId="35">
    <w:name w:val="toc 9"/>
    <w:basedOn w:val="1"/>
    <w:next w:val="1"/>
    <w:autoRedefine/>
    <w:qFormat/>
    <w:uiPriority w:val="0"/>
    <w:pPr>
      <w:ind w:left="3360" w:leftChars="1600"/>
    </w:pPr>
  </w:style>
  <w:style w:type="paragraph" w:styleId="36">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rPr>
      <w:szCs w:val="20"/>
    </w:rPr>
  </w:style>
  <w:style w:type="paragraph" w:styleId="39">
    <w:name w:val="Title"/>
    <w:basedOn w:val="1"/>
    <w:link w:val="82"/>
    <w:autoRedefine/>
    <w:qFormat/>
    <w:uiPriority w:val="0"/>
    <w:pPr>
      <w:jc w:val="center"/>
      <w:outlineLvl w:val="0"/>
    </w:pPr>
    <w:rPr>
      <w:b/>
      <w:sz w:val="32"/>
      <w:szCs w:val="20"/>
    </w:rPr>
  </w:style>
  <w:style w:type="paragraph" w:styleId="40">
    <w:name w:val="annotation subject"/>
    <w:basedOn w:val="16"/>
    <w:next w:val="16"/>
    <w:link w:val="81"/>
    <w:autoRedefine/>
    <w:qFormat/>
    <w:uiPriority w:val="0"/>
    <w:rPr>
      <w:b/>
      <w:bCs/>
    </w:rPr>
  </w:style>
  <w:style w:type="paragraph" w:styleId="41">
    <w:name w:val="Body Text First Indent 2"/>
    <w:basedOn w:val="19"/>
    <w:link w:val="123"/>
    <w:autoRedefine/>
    <w:qFormat/>
    <w:uiPriority w:val="0"/>
    <w:pPr>
      <w:spacing w:after="120" w:line="480" w:lineRule="exact"/>
      <w:ind w:left="420" w:leftChars="200" w:firstLine="420" w:firstLineChars="200"/>
    </w:pPr>
    <w:rPr>
      <w:szCs w:val="20"/>
    </w:rPr>
  </w:style>
  <w:style w:type="table" w:styleId="43">
    <w:name w:val="Table Grid"/>
    <w:basedOn w:val="42"/>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autoRedefine/>
    <w:qFormat/>
    <w:uiPriority w:val="0"/>
    <w:rPr>
      <w:b/>
      <w:bCs/>
    </w:rPr>
  </w:style>
  <w:style w:type="character" w:styleId="46">
    <w:name w:val="page number"/>
    <w:autoRedefine/>
    <w:qFormat/>
    <w:uiPriority w:val="0"/>
  </w:style>
  <w:style w:type="character" w:styleId="47">
    <w:name w:val="FollowedHyperlink"/>
    <w:autoRedefine/>
    <w:qFormat/>
    <w:uiPriority w:val="0"/>
    <w:rPr>
      <w:color w:val="800080"/>
      <w:u w:val="single"/>
    </w:rPr>
  </w:style>
  <w:style w:type="character" w:styleId="48">
    <w:name w:val="Emphasis"/>
    <w:autoRedefine/>
    <w:qFormat/>
    <w:uiPriority w:val="0"/>
    <w:rPr>
      <w:color w:val="CC0033"/>
    </w:rPr>
  </w:style>
  <w:style w:type="character" w:styleId="49">
    <w:name w:val="Hyperlink"/>
    <w:autoRedefine/>
    <w:qFormat/>
    <w:uiPriority w:val="99"/>
    <w:rPr>
      <w:color w:val="0000FF"/>
      <w:u w:val="single"/>
    </w:rPr>
  </w:style>
  <w:style w:type="character" w:styleId="50">
    <w:name w:val="annotation reference"/>
    <w:autoRedefine/>
    <w:qFormat/>
    <w:uiPriority w:val="99"/>
    <w:rPr>
      <w:sz w:val="21"/>
      <w:szCs w:val="21"/>
    </w:rPr>
  </w:style>
  <w:style w:type="character" w:styleId="51">
    <w:name w:val="HTML Cite"/>
    <w:autoRedefine/>
    <w:qFormat/>
    <w:uiPriority w:val="0"/>
    <w:rPr>
      <w:i/>
      <w:iCs/>
    </w:rPr>
  </w:style>
  <w:style w:type="character" w:customStyle="1" w:styleId="52">
    <w:name w:val="标题 Char"/>
    <w:autoRedefine/>
    <w:qFormat/>
    <w:uiPriority w:val="0"/>
    <w:rPr>
      <w:b/>
      <w:kern w:val="2"/>
      <w:sz w:val="32"/>
    </w:rPr>
  </w:style>
  <w:style w:type="character" w:customStyle="1" w:styleId="53">
    <w:name w:val="批注文字 Char"/>
    <w:autoRedefine/>
    <w:qFormat/>
    <w:uiPriority w:val="99"/>
    <w:rPr>
      <w:kern w:val="2"/>
      <w:sz w:val="21"/>
      <w:szCs w:val="24"/>
    </w:rPr>
  </w:style>
  <w:style w:type="character" w:customStyle="1" w:styleId="54">
    <w:name w:val="标题 2 Char"/>
    <w:autoRedefine/>
    <w:qFormat/>
    <w:uiPriority w:val="0"/>
    <w:rPr>
      <w:rFonts w:ascii="Arial" w:hAnsi="Arial" w:eastAsia="黑体"/>
      <w:b/>
      <w:sz w:val="30"/>
      <w:lang w:val="en-US" w:eastAsia="zh-CN" w:bidi="ar-SA"/>
    </w:rPr>
  </w:style>
  <w:style w:type="character" w:customStyle="1" w:styleId="55">
    <w:name w:val="页眉 Char"/>
    <w:autoRedefine/>
    <w:qFormat/>
    <w:uiPriority w:val="99"/>
    <w:rPr>
      <w:rFonts w:eastAsia="宋体"/>
      <w:kern w:val="2"/>
      <w:sz w:val="18"/>
      <w:szCs w:val="18"/>
      <w:lang w:val="en-US" w:eastAsia="zh-CN" w:bidi="ar-SA"/>
    </w:rPr>
  </w:style>
  <w:style w:type="character" w:customStyle="1" w:styleId="56">
    <w:name w:val="正文文本缩进 Char"/>
    <w:autoRedefine/>
    <w:qFormat/>
    <w:uiPriority w:val="0"/>
    <w:rPr>
      <w:rFonts w:eastAsia="宋体"/>
      <w:kern w:val="2"/>
      <w:sz w:val="24"/>
      <w:szCs w:val="24"/>
      <w:lang w:val="en-US" w:eastAsia="zh-CN" w:bidi="ar-SA"/>
    </w:rPr>
  </w:style>
  <w:style w:type="character" w:customStyle="1" w:styleId="57">
    <w:name w:val="Char Char111"/>
    <w:autoRedefine/>
    <w:qFormat/>
    <w:uiPriority w:val="0"/>
    <w:rPr>
      <w:rFonts w:ascii="宋体" w:eastAsia="宋体"/>
      <w:b/>
      <w:sz w:val="24"/>
      <w:u w:val="single"/>
      <w:lang w:val="en-US" w:eastAsia="zh-CN" w:bidi="ar-SA"/>
    </w:rPr>
  </w:style>
  <w:style w:type="character" w:customStyle="1" w:styleId="58">
    <w:name w:val="标题 3 Char"/>
    <w:autoRedefine/>
    <w:qFormat/>
    <w:uiPriority w:val="0"/>
    <w:rPr>
      <w:rFonts w:ascii="宋体" w:eastAsia="宋体"/>
      <w:b/>
      <w:sz w:val="24"/>
      <w:u w:val="single"/>
      <w:lang w:val="en-US" w:eastAsia="zh-CN" w:bidi="ar-SA"/>
    </w:rPr>
  </w:style>
  <w:style w:type="character" w:customStyle="1" w:styleId="59">
    <w:name w:val="注释 Char"/>
    <w:link w:val="60"/>
    <w:autoRedefine/>
    <w:qFormat/>
    <w:uiPriority w:val="0"/>
    <w:rPr>
      <w:rFonts w:ascii="宋体" w:hAnsi="宋体"/>
      <w:kern w:val="2"/>
      <w:sz w:val="21"/>
      <w:szCs w:val="21"/>
    </w:rPr>
  </w:style>
  <w:style w:type="paragraph" w:customStyle="1" w:styleId="60">
    <w:name w:val="注释"/>
    <w:basedOn w:val="1"/>
    <w:link w:val="59"/>
    <w:autoRedefine/>
    <w:qFormat/>
    <w:uiPriority w:val="0"/>
    <w:pPr>
      <w:adjustRightInd w:val="0"/>
      <w:snapToGrid w:val="0"/>
      <w:ind w:left="420" w:hanging="420" w:hangingChars="200"/>
      <w:jc w:val="left"/>
    </w:pPr>
    <w:rPr>
      <w:rFonts w:ascii="宋体" w:hAnsi="宋体"/>
      <w:szCs w:val="21"/>
    </w:rPr>
  </w:style>
  <w:style w:type="character" w:customStyle="1" w:styleId="61">
    <w:name w:val="正文大标题 Char"/>
    <w:link w:val="62"/>
    <w:autoRedefine/>
    <w:qFormat/>
    <w:uiPriority w:val="0"/>
    <w:rPr>
      <w:rFonts w:ascii="宋体" w:hAnsi="宋体"/>
      <w:b/>
      <w:color w:val="000000"/>
      <w:kern w:val="2"/>
      <w:sz w:val="28"/>
      <w:szCs w:val="21"/>
    </w:rPr>
  </w:style>
  <w:style w:type="paragraph" w:customStyle="1" w:styleId="62">
    <w:name w:val="正文大标题"/>
    <w:basedOn w:val="63"/>
    <w:next w:val="5"/>
    <w:link w:val="61"/>
    <w:autoRedefine/>
    <w:qFormat/>
    <w:uiPriority w:val="0"/>
    <w:pPr>
      <w:jc w:val="center"/>
    </w:pPr>
    <w:rPr>
      <w:i w:val="0"/>
      <w:color w:val="000000"/>
      <w:sz w:val="28"/>
      <w:szCs w:val="21"/>
    </w:rPr>
  </w:style>
  <w:style w:type="paragraph" w:customStyle="1" w:styleId="63">
    <w:name w:val="正文小标题"/>
    <w:basedOn w:val="1"/>
    <w:next w:val="5"/>
    <w:link w:val="64"/>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64">
    <w:name w:val="正文小标题 Char"/>
    <w:link w:val="63"/>
    <w:autoRedefine/>
    <w:qFormat/>
    <w:uiPriority w:val="0"/>
    <w:rPr>
      <w:rFonts w:ascii="宋体" w:hAnsi="宋体"/>
      <w:b/>
      <w:i/>
      <w:color w:val="FF0000"/>
      <w:kern w:val="2"/>
      <w:sz w:val="24"/>
    </w:rPr>
  </w:style>
  <w:style w:type="character" w:customStyle="1" w:styleId="65">
    <w:name w:val="中等深浅网格 1 - 强调文字颜色 2 Char"/>
    <w:link w:val="66"/>
    <w:autoRedefine/>
    <w:qFormat/>
    <w:uiPriority w:val="0"/>
    <w:rPr>
      <w:kern w:val="2"/>
      <w:sz w:val="21"/>
      <w:szCs w:val="24"/>
      <w:lang w:val="zh-CN" w:eastAsia="zh-CN"/>
    </w:rPr>
  </w:style>
  <w:style w:type="paragraph" w:customStyle="1" w:styleId="66">
    <w:name w:val="1"/>
    <w:link w:val="65"/>
    <w:autoRedefine/>
    <w:qFormat/>
    <w:uiPriority w:val="0"/>
    <w:rPr>
      <w:rFonts w:ascii="Times New Roman" w:hAnsi="Times New Roman" w:eastAsia="宋体" w:cs="Times New Roman"/>
      <w:kern w:val="2"/>
      <w:sz w:val="21"/>
      <w:szCs w:val="24"/>
      <w:lang w:val="zh-CN" w:eastAsia="zh-CN" w:bidi="ar-SA"/>
    </w:rPr>
  </w:style>
  <w:style w:type="character" w:customStyle="1" w:styleId="67">
    <w:name w:val="apple-style-span"/>
    <w:autoRedefine/>
    <w:qFormat/>
    <w:uiPriority w:val="0"/>
    <w:rPr>
      <w:rFonts w:cs="Times New Roman"/>
    </w:rPr>
  </w:style>
  <w:style w:type="character" w:customStyle="1" w:styleId="68">
    <w:name w:val="纯文本 Char1"/>
    <w:autoRedefine/>
    <w:qFormat/>
    <w:uiPriority w:val="0"/>
    <w:rPr>
      <w:rFonts w:ascii="宋体" w:hAnsi="Courier New" w:eastAsia="宋体"/>
      <w:kern w:val="2"/>
      <w:sz w:val="21"/>
      <w:lang w:val="en-US" w:eastAsia="zh-CN" w:bidi="ar-SA"/>
    </w:rPr>
  </w:style>
  <w:style w:type="character" w:customStyle="1" w:styleId="69">
    <w:name w:val="段1 Char"/>
    <w:autoRedefine/>
    <w:qFormat/>
    <w:uiPriority w:val="0"/>
    <w:rPr>
      <w:rFonts w:ascii="宋体" w:eastAsia="宋体"/>
      <w:sz w:val="24"/>
      <w:lang w:val="en-US" w:eastAsia="zh-CN" w:bidi="ar-SA"/>
    </w:rPr>
  </w:style>
  <w:style w:type="character" w:customStyle="1" w:styleId="70">
    <w:name w:val="标题 3 Char Char"/>
    <w:autoRedefine/>
    <w:qFormat/>
    <w:uiPriority w:val="0"/>
    <w:rPr>
      <w:rFonts w:eastAsia="宋体"/>
      <w:b/>
      <w:bCs/>
      <w:kern w:val="2"/>
      <w:sz w:val="32"/>
      <w:szCs w:val="32"/>
      <w:lang w:val="en-US" w:eastAsia="zh-CN" w:bidi="ar-SA"/>
    </w:rPr>
  </w:style>
  <w:style w:type="character" w:customStyle="1" w:styleId="71">
    <w:name w:val="正文缩进 Char Char"/>
    <w:link w:val="72"/>
    <w:autoRedefine/>
    <w:qFormat/>
    <w:uiPriority w:val="0"/>
    <w:rPr>
      <w:rFonts w:ascii="宋体" w:eastAsia="宋体"/>
      <w:snapToGrid w:val="0"/>
      <w:color w:val="000000"/>
      <w:kern w:val="28"/>
      <w:sz w:val="28"/>
      <w:lang w:bidi="ar-SA"/>
    </w:rPr>
  </w:style>
  <w:style w:type="paragraph" w:customStyle="1" w:styleId="72">
    <w:name w:val="正文缩进1"/>
    <w:basedOn w:val="1"/>
    <w:link w:val="7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3">
    <w:name w:val="txt"/>
    <w:autoRedefine/>
    <w:qFormat/>
    <w:uiPriority w:val="0"/>
  </w:style>
  <w:style w:type="character" w:customStyle="1" w:styleId="74">
    <w:name w:val="Char Char11"/>
    <w:autoRedefine/>
    <w:qFormat/>
    <w:uiPriority w:val="0"/>
    <w:rPr>
      <w:rFonts w:ascii="宋体" w:eastAsia="宋体"/>
      <w:b/>
      <w:sz w:val="24"/>
      <w:u w:val="single"/>
      <w:lang w:val="en-US" w:eastAsia="zh-CN" w:bidi="ar-SA"/>
    </w:rPr>
  </w:style>
  <w:style w:type="character" w:customStyle="1" w:styleId="75">
    <w:name w:val="正文文本缩进 Char1"/>
    <w:link w:val="76"/>
    <w:autoRedefine/>
    <w:qFormat/>
    <w:uiPriority w:val="0"/>
    <w:rPr>
      <w:rFonts w:ascii="宋体" w:hAnsi="宋体" w:eastAsia="宋体"/>
      <w:sz w:val="24"/>
      <w:szCs w:val="24"/>
      <w:lang w:bidi="ar-SA"/>
    </w:rPr>
  </w:style>
  <w:style w:type="paragraph" w:customStyle="1" w:styleId="76">
    <w:name w:val="正文文本缩进1"/>
    <w:basedOn w:val="1"/>
    <w:link w:val="75"/>
    <w:autoRedefine/>
    <w:qFormat/>
    <w:uiPriority w:val="0"/>
    <w:pPr>
      <w:spacing w:line="480" w:lineRule="exact"/>
      <w:ind w:firstLine="480" w:firstLineChars="200"/>
    </w:pPr>
    <w:rPr>
      <w:rFonts w:ascii="宋体" w:hAnsi="宋体"/>
      <w:kern w:val="0"/>
      <w:sz w:val="24"/>
    </w:rPr>
  </w:style>
  <w:style w:type="character" w:customStyle="1" w:styleId="77">
    <w:name w:val="locality"/>
    <w:autoRedefine/>
    <w:qFormat/>
    <w:uiPriority w:val="0"/>
  </w:style>
  <w:style w:type="character" w:customStyle="1" w:styleId="78">
    <w:name w:val="street-address"/>
    <w:autoRedefine/>
    <w:qFormat/>
    <w:uiPriority w:val="0"/>
  </w:style>
  <w:style w:type="character" w:customStyle="1" w:styleId="79">
    <w:name w:val="title4"/>
    <w:autoRedefine/>
    <w:qFormat/>
    <w:uiPriority w:val="0"/>
    <w:rPr>
      <w:b/>
      <w:bCs/>
      <w:color w:val="1D87B3"/>
      <w:sz w:val="15"/>
      <w:szCs w:val="15"/>
    </w:rPr>
  </w:style>
  <w:style w:type="character" w:customStyle="1" w:styleId="80">
    <w:name w:val="批注文字 字符"/>
    <w:autoRedefine/>
    <w:qFormat/>
    <w:uiPriority w:val="99"/>
    <w:rPr>
      <w:rFonts w:ascii="Times New Roman" w:hAnsi="Times New Roman" w:eastAsia="宋体" w:cs="Times New Roman"/>
      <w:sz w:val="24"/>
      <w:lang w:val="en-US" w:eastAsia="zh-CN" w:bidi="ar-SA"/>
    </w:rPr>
  </w:style>
  <w:style w:type="character" w:customStyle="1" w:styleId="81">
    <w:name w:val="批注主题 Char"/>
    <w:link w:val="40"/>
    <w:autoRedefine/>
    <w:qFormat/>
    <w:uiPriority w:val="0"/>
    <w:rPr>
      <w:rFonts w:ascii="Times New Roman" w:hAnsi="Times New Roman" w:eastAsia="宋体" w:cs="Times New Roman"/>
      <w:b/>
      <w:bCs/>
      <w:kern w:val="2"/>
      <w:sz w:val="21"/>
      <w:szCs w:val="24"/>
      <w:lang w:val="en-US" w:eastAsia="zh-CN" w:bidi="ar-SA"/>
    </w:rPr>
  </w:style>
  <w:style w:type="character" w:customStyle="1" w:styleId="82">
    <w:name w:val="标题 Char1"/>
    <w:link w:val="39"/>
    <w:autoRedefine/>
    <w:qFormat/>
    <w:uiPriority w:val="0"/>
    <w:rPr>
      <w:b/>
      <w:kern w:val="2"/>
      <w:sz w:val="32"/>
    </w:rPr>
  </w:style>
  <w:style w:type="character" w:customStyle="1" w:styleId="83">
    <w:name w:val="HTML 预设格式 Char"/>
    <w:link w:val="36"/>
    <w:autoRedefine/>
    <w:qFormat/>
    <w:uiPriority w:val="0"/>
    <w:rPr>
      <w:rFonts w:ascii="宋体" w:hAnsi="宋体" w:cs="宋体"/>
      <w:sz w:val="24"/>
      <w:szCs w:val="24"/>
    </w:rPr>
  </w:style>
  <w:style w:type="character" w:customStyle="1" w:styleId="84">
    <w:name w:val="正文文本缩进 3 Char"/>
    <w:link w:val="33"/>
    <w:autoRedefine/>
    <w:qFormat/>
    <w:uiPriority w:val="0"/>
    <w:rPr>
      <w:rFonts w:ascii="宋体"/>
      <w:sz w:val="24"/>
    </w:rPr>
  </w:style>
  <w:style w:type="character" w:customStyle="1" w:styleId="85">
    <w:name w:val="批注框文本 Char"/>
    <w:link w:val="28"/>
    <w:autoRedefine/>
    <w:qFormat/>
    <w:uiPriority w:val="0"/>
    <w:rPr>
      <w:kern w:val="2"/>
      <w:sz w:val="18"/>
      <w:szCs w:val="18"/>
    </w:rPr>
  </w:style>
  <w:style w:type="character" w:customStyle="1" w:styleId="86">
    <w:name w:val="纯文本 Char"/>
    <w:link w:val="24"/>
    <w:autoRedefine/>
    <w:qFormat/>
    <w:uiPriority w:val="0"/>
    <w:rPr>
      <w:rFonts w:hint="eastAsia" w:ascii="宋体" w:hAnsi="Courier New" w:eastAsia="宋体" w:cs="宋体"/>
      <w:kern w:val="2"/>
      <w:sz w:val="21"/>
    </w:rPr>
  </w:style>
  <w:style w:type="character" w:customStyle="1" w:styleId="87">
    <w:name w:val="正文文本 Char"/>
    <w:link w:val="18"/>
    <w:autoRedefine/>
    <w:qFormat/>
    <w:uiPriority w:val="0"/>
    <w:rPr>
      <w:rFonts w:ascii="宋体" w:hAnsi="宋体"/>
      <w:kern w:val="2"/>
      <w:sz w:val="24"/>
      <w:szCs w:val="24"/>
    </w:rPr>
  </w:style>
  <w:style w:type="character" w:customStyle="1" w:styleId="88">
    <w:name w:val="正文文本 3 Char"/>
    <w:link w:val="17"/>
    <w:autoRedefine/>
    <w:qFormat/>
    <w:uiPriority w:val="0"/>
    <w:rPr>
      <w:kern w:val="2"/>
      <w:sz w:val="16"/>
      <w:szCs w:val="16"/>
    </w:rPr>
  </w:style>
  <w:style w:type="character" w:customStyle="1" w:styleId="89">
    <w:name w:val="批注文字 Char1"/>
    <w:link w:val="16"/>
    <w:autoRedefine/>
    <w:qFormat/>
    <w:uiPriority w:val="99"/>
    <w:rPr>
      <w:kern w:val="2"/>
      <w:sz w:val="21"/>
      <w:szCs w:val="24"/>
    </w:rPr>
  </w:style>
  <w:style w:type="character" w:customStyle="1" w:styleId="90">
    <w:name w:val="标题 8 Char"/>
    <w:link w:val="11"/>
    <w:autoRedefine/>
    <w:qFormat/>
    <w:uiPriority w:val="0"/>
    <w:rPr>
      <w:rFonts w:ascii="Arial" w:hAnsi="Arial" w:eastAsia="黑体"/>
      <w:sz w:val="24"/>
    </w:rPr>
  </w:style>
  <w:style w:type="character" w:customStyle="1" w:styleId="91">
    <w:name w:val="标题 7 Char"/>
    <w:link w:val="10"/>
    <w:autoRedefine/>
    <w:qFormat/>
    <w:uiPriority w:val="0"/>
    <w:rPr>
      <w:b/>
      <w:sz w:val="24"/>
    </w:rPr>
  </w:style>
  <w:style w:type="character" w:customStyle="1" w:styleId="92">
    <w:name w:val="标题 6 Char"/>
    <w:link w:val="9"/>
    <w:autoRedefine/>
    <w:qFormat/>
    <w:uiPriority w:val="0"/>
    <w:rPr>
      <w:rFonts w:ascii="Arial" w:hAnsi="Arial" w:eastAsia="黑体"/>
      <w:b/>
      <w:sz w:val="24"/>
    </w:rPr>
  </w:style>
  <w:style w:type="character" w:customStyle="1" w:styleId="93">
    <w:name w:val="标题 3 Char1"/>
    <w:link w:val="6"/>
    <w:autoRedefine/>
    <w:qFormat/>
    <w:uiPriority w:val="0"/>
    <w:rPr>
      <w:rFonts w:ascii="宋体" w:eastAsia="宋体"/>
      <w:b/>
      <w:sz w:val="24"/>
      <w:u w:val="single"/>
      <w:lang w:val="en-US" w:eastAsia="zh-CN" w:bidi="ar-SA"/>
    </w:rPr>
  </w:style>
  <w:style w:type="character" w:customStyle="1" w:styleId="94">
    <w:name w:val="纯文本 字符1"/>
    <w:autoRedefine/>
    <w:qFormat/>
    <w:uiPriority w:val="0"/>
    <w:rPr>
      <w:rFonts w:ascii="宋体" w:hAnsi="Courier New"/>
    </w:rPr>
  </w:style>
  <w:style w:type="character" w:customStyle="1" w:styleId="95">
    <w:name w:val="纯文本 字符"/>
    <w:autoRedefine/>
    <w:qFormat/>
    <w:uiPriority w:val="99"/>
    <w:rPr>
      <w:rFonts w:ascii="宋体" w:hAnsi="Courier New" w:eastAsia="宋体" w:cs="Times New Roman"/>
      <w:kern w:val="2"/>
      <w:sz w:val="21"/>
      <w:szCs w:val="21"/>
      <w:lang w:val="en-US" w:eastAsia="zh-CN" w:bidi="ar-SA"/>
    </w:rPr>
  </w:style>
  <w:style w:type="character" w:customStyle="1" w:styleId="96">
    <w:name w:val="正文文本缩进 2 Char"/>
    <w:link w:val="27"/>
    <w:autoRedefine/>
    <w:qFormat/>
    <w:uiPriority w:val="0"/>
    <w:rPr>
      <w:rFonts w:ascii="仿宋_GB2312" w:eastAsia="仿宋_GB2312"/>
      <w:kern w:val="2"/>
      <w:sz w:val="24"/>
      <w:szCs w:val="24"/>
    </w:rPr>
  </w:style>
  <w:style w:type="character" w:customStyle="1" w:styleId="97">
    <w:name w:val="标题 1 Char"/>
    <w:link w:val="3"/>
    <w:autoRedefine/>
    <w:qFormat/>
    <w:uiPriority w:val="0"/>
    <w:rPr>
      <w:rFonts w:ascii="宋体"/>
      <w:b/>
      <w:kern w:val="44"/>
      <w:sz w:val="32"/>
    </w:rPr>
  </w:style>
  <w:style w:type="character" w:customStyle="1" w:styleId="98">
    <w:name w:val="bjh-p"/>
    <w:autoRedefine/>
    <w:qFormat/>
    <w:uiPriority w:val="0"/>
  </w:style>
  <w:style w:type="character" w:customStyle="1" w:styleId="99">
    <w:name w:val="chanpin拷贝"/>
    <w:autoRedefine/>
    <w:qFormat/>
    <w:uiPriority w:val="0"/>
  </w:style>
  <w:style w:type="character" w:customStyle="1" w:styleId="100">
    <w:name w:val="普通文字1 Char1"/>
    <w:autoRedefine/>
    <w:qFormat/>
    <w:uiPriority w:val="0"/>
    <w:rPr>
      <w:rFonts w:ascii="宋体" w:hAnsi="Courier New" w:eastAsia="宋体"/>
      <w:kern w:val="2"/>
      <w:sz w:val="21"/>
      <w:lang w:val="en-US" w:eastAsia="zh-CN" w:bidi="ar-SA"/>
    </w:rPr>
  </w:style>
  <w:style w:type="character" w:customStyle="1" w:styleId="101">
    <w:name w:val="文档结构图 Char"/>
    <w:link w:val="15"/>
    <w:autoRedefine/>
    <w:qFormat/>
    <w:uiPriority w:val="0"/>
    <w:rPr>
      <w:kern w:val="2"/>
      <w:sz w:val="21"/>
      <w:szCs w:val="24"/>
      <w:shd w:val="clear" w:color="auto" w:fill="000080"/>
    </w:rPr>
  </w:style>
  <w:style w:type="character" w:customStyle="1" w:styleId="102">
    <w:name w:val="正文缩进 Char1"/>
    <w:link w:val="5"/>
    <w:autoRedefine/>
    <w:qFormat/>
    <w:uiPriority w:val="0"/>
    <w:rPr>
      <w:rFonts w:ascii="宋体" w:eastAsia="宋体"/>
      <w:kern w:val="2"/>
      <w:sz w:val="24"/>
      <w:szCs w:val="24"/>
      <w:lang w:val="en-US" w:eastAsia="zh-CN" w:bidi="ar-SA"/>
    </w:rPr>
  </w:style>
  <w:style w:type="character" w:customStyle="1" w:styleId="103">
    <w:name w:val="正文表格 Char"/>
    <w:link w:val="104"/>
    <w:autoRedefine/>
    <w:qFormat/>
    <w:uiPriority w:val="0"/>
    <w:rPr>
      <w:rFonts w:ascii="宋体" w:hAnsi="宋体"/>
      <w:color w:val="000000"/>
      <w:kern w:val="2"/>
      <w:sz w:val="21"/>
      <w:szCs w:val="21"/>
    </w:rPr>
  </w:style>
  <w:style w:type="paragraph" w:customStyle="1" w:styleId="104">
    <w:name w:val="正文表格"/>
    <w:basedOn w:val="1"/>
    <w:link w:val="103"/>
    <w:autoRedefine/>
    <w:qFormat/>
    <w:uiPriority w:val="0"/>
    <w:pPr>
      <w:adjustRightInd w:val="0"/>
      <w:snapToGrid w:val="0"/>
      <w:jc w:val="left"/>
    </w:pPr>
    <w:rPr>
      <w:rFonts w:ascii="宋体" w:hAnsi="宋体"/>
      <w:color w:val="000000"/>
      <w:szCs w:val="21"/>
    </w:rPr>
  </w:style>
  <w:style w:type="character" w:customStyle="1" w:styleId="105">
    <w:name w:val="标题 9 Char"/>
    <w:link w:val="12"/>
    <w:autoRedefine/>
    <w:qFormat/>
    <w:uiPriority w:val="0"/>
    <w:rPr>
      <w:rFonts w:ascii="Arial" w:hAnsi="Arial" w:eastAsia="黑体"/>
      <w:sz w:val="21"/>
    </w:rPr>
  </w:style>
  <w:style w:type="character" w:customStyle="1" w:styleId="106">
    <w:name w:val="chanpin1"/>
    <w:autoRedefine/>
    <w:qFormat/>
    <w:uiPriority w:val="0"/>
    <w:rPr>
      <w:rFonts w:hint="default" w:ascii="ˎ̥" w:hAnsi="ˎ̥"/>
      <w:color w:val="000000"/>
      <w:sz w:val="20"/>
      <w:szCs w:val="20"/>
      <w:u w:val="none"/>
    </w:rPr>
  </w:style>
  <w:style w:type="character" w:customStyle="1" w:styleId="107">
    <w:name w:val="标题 2 Char1"/>
    <w:link w:val="4"/>
    <w:autoRedefine/>
    <w:qFormat/>
    <w:uiPriority w:val="0"/>
    <w:rPr>
      <w:rFonts w:ascii="Arial" w:hAnsi="Arial" w:eastAsia="黑体"/>
      <w:b/>
      <w:sz w:val="30"/>
      <w:lang w:val="en-US" w:eastAsia="zh-CN" w:bidi="ar-SA"/>
    </w:rPr>
  </w:style>
  <w:style w:type="character" w:customStyle="1" w:styleId="108">
    <w:name w:val="日期 Char"/>
    <w:link w:val="26"/>
    <w:autoRedefine/>
    <w:qFormat/>
    <w:uiPriority w:val="0"/>
    <w:rPr>
      <w:rFonts w:ascii="仿宋_GB2312" w:hAnsi="宋体" w:eastAsia="仿宋_GB2312"/>
      <w:color w:val="000000"/>
      <w:kern w:val="2"/>
      <w:sz w:val="24"/>
      <w:szCs w:val="24"/>
    </w:rPr>
  </w:style>
  <w:style w:type="character" w:customStyle="1" w:styleId="109">
    <w:name w:val="页脚 Char"/>
    <w:autoRedefine/>
    <w:qFormat/>
    <w:uiPriority w:val="99"/>
    <w:rPr>
      <w:rFonts w:ascii="宋体" w:eastAsia="宋体"/>
      <w:sz w:val="18"/>
      <w:lang w:val="en-US" w:eastAsia="zh-CN" w:bidi="ar-SA"/>
    </w:rPr>
  </w:style>
  <w:style w:type="character" w:customStyle="1" w:styleId="110">
    <w:name w:val="正文格式 Char"/>
    <w:link w:val="111"/>
    <w:autoRedefine/>
    <w:qFormat/>
    <w:locked/>
    <w:uiPriority w:val="0"/>
    <w:rPr>
      <w:rFonts w:ascii="宋体" w:hAnsi="宋体"/>
      <w:sz w:val="24"/>
      <w:szCs w:val="24"/>
      <w:lang w:val="en-GB"/>
    </w:rPr>
  </w:style>
  <w:style w:type="paragraph" w:customStyle="1" w:styleId="111">
    <w:name w:val="正文格式"/>
    <w:basedOn w:val="1"/>
    <w:link w:val="110"/>
    <w:autoRedefine/>
    <w:qFormat/>
    <w:uiPriority w:val="0"/>
    <w:pPr>
      <w:spacing w:beforeLines="50" w:line="360" w:lineRule="auto"/>
      <w:ind w:firstLine="480" w:firstLineChars="200"/>
    </w:pPr>
    <w:rPr>
      <w:rFonts w:ascii="宋体" w:hAnsi="宋体"/>
      <w:kern w:val="0"/>
      <w:sz w:val="24"/>
      <w:lang w:val="en-GB"/>
    </w:rPr>
  </w:style>
  <w:style w:type="character" w:customStyle="1" w:styleId="112">
    <w:name w:val="正文缩进 Char"/>
    <w:autoRedefine/>
    <w:qFormat/>
    <w:uiPriority w:val="0"/>
    <w:rPr>
      <w:rFonts w:ascii="宋体" w:eastAsia="宋体"/>
      <w:kern w:val="2"/>
      <w:sz w:val="24"/>
      <w:szCs w:val="24"/>
      <w:lang w:val="en-US" w:eastAsia="zh-CN" w:bidi="ar-SA"/>
    </w:rPr>
  </w:style>
  <w:style w:type="character" w:customStyle="1" w:styleId="113">
    <w:name w:val="页脚 Char1"/>
    <w:link w:val="2"/>
    <w:autoRedefine/>
    <w:qFormat/>
    <w:uiPriority w:val="99"/>
    <w:rPr>
      <w:rFonts w:ascii="宋体" w:eastAsia="宋体"/>
      <w:sz w:val="18"/>
      <w:lang w:val="en-US" w:eastAsia="zh-CN" w:bidi="ar-SA"/>
    </w:rPr>
  </w:style>
  <w:style w:type="character" w:customStyle="1" w:styleId="114">
    <w:name w:val="black1"/>
    <w:autoRedefine/>
    <w:qFormat/>
    <w:uiPriority w:val="0"/>
    <w:rPr>
      <w:color w:val="000000"/>
    </w:rPr>
  </w:style>
  <w:style w:type="character" w:customStyle="1" w:styleId="115">
    <w:name w:val="正文文本缩进 Char2"/>
    <w:link w:val="19"/>
    <w:autoRedefine/>
    <w:qFormat/>
    <w:uiPriority w:val="0"/>
    <w:rPr>
      <w:rFonts w:eastAsia="宋体"/>
      <w:kern w:val="2"/>
      <w:sz w:val="24"/>
      <w:szCs w:val="24"/>
      <w:lang w:val="en-US" w:eastAsia="zh-CN" w:bidi="ar-SA"/>
    </w:rPr>
  </w:style>
  <w:style w:type="character" w:customStyle="1" w:styleId="116">
    <w:name w:val="列出段落 Char"/>
    <w:autoRedefine/>
    <w:qFormat/>
    <w:uiPriority w:val="34"/>
    <w:rPr>
      <w:rFonts w:ascii="Calibri" w:hAnsi="Calibri" w:eastAsia="宋体"/>
      <w:kern w:val="2"/>
      <w:sz w:val="21"/>
      <w:szCs w:val="22"/>
      <w:lang w:val="en-US" w:eastAsia="zh-CN" w:bidi="ar-SA"/>
    </w:rPr>
  </w:style>
  <w:style w:type="character" w:customStyle="1" w:styleId="117">
    <w:name w:val="标题 2 Char Char"/>
    <w:autoRedefine/>
    <w:qFormat/>
    <w:uiPriority w:val="0"/>
    <w:rPr>
      <w:rFonts w:ascii="Arial" w:hAnsi="Arial" w:eastAsia="黑体"/>
      <w:b/>
      <w:bCs/>
      <w:kern w:val="2"/>
      <w:sz w:val="32"/>
      <w:szCs w:val="32"/>
      <w:lang w:val="en-US" w:eastAsia="zh-CN" w:bidi="ar-SA"/>
    </w:rPr>
  </w:style>
  <w:style w:type="character" w:customStyle="1" w:styleId="118">
    <w:name w:val="标题 5 Char"/>
    <w:link w:val="8"/>
    <w:autoRedefine/>
    <w:qFormat/>
    <w:uiPriority w:val="0"/>
    <w:rPr>
      <w:b/>
      <w:sz w:val="28"/>
    </w:rPr>
  </w:style>
  <w:style w:type="character" w:customStyle="1" w:styleId="119">
    <w:name w:val="列出段落 Char1"/>
    <w:link w:val="120"/>
    <w:autoRedefine/>
    <w:qFormat/>
    <w:uiPriority w:val="34"/>
    <w:rPr>
      <w:rFonts w:ascii="Calibri" w:hAnsi="Calibri" w:eastAsia="宋体"/>
      <w:kern w:val="2"/>
      <w:sz w:val="21"/>
      <w:szCs w:val="22"/>
      <w:lang w:val="en-US" w:eastAsia="zh-CN" w:bidi="ar-SA"/>
    </w:rPr>
  </w:style>
  <w:style w:type="paragraph" w:styleId="120">
    <w:name w:val="List Paragraph"/>
    <w:basedOn w:val="1"/>
    <w:link w:val="119"/>
    <w:autoRedefine/>
    <w:qFormat/>
    <w:uiPriority w:val="34"/>
    <w:pPr>
      <w:ind w:firstLine="420" w:firstLineChars="200"/>
    </w:pPr>
    <w:rPr>
      <w:rFonts w:ascii="Calibri" w:hAnsi="Calibri"/>
      <w:szCs w:val="22"/>
    </w:rPr>
  </w:style>
  <w:style w:type="character" w:customStyle="1" w:styleId="121">
    <w:name w:val="标题 4 Char"/>
    <w:link w:val="7"/>
    <w:autoRedefine/>
    <w:qFormat/>
    <w:uiPriority w:val="0"/>
    <w:rPr>
      <w:rFonts w:ascii="Arial" w:hAnsi="Arial" w:eastAsia="黑体"/>
      <w:b/>
      <w:sz w:val="28"/>
    </w:rPr>
  </w:style>
  <w:style w:type="character" w:customStyle="1" w:styleId="122">
    <w:name w:val="页眉 Char1"/>
    <w:link w:val="29"/>
    <w:autoRedefine/>
    <w:qFormat/>
    <w:uiPriority w:val="0"/>
    <w:rPr>
      <w:rFonts w:eastAsia="宋体"/>
      <w:kern w:val="2"/>
      <w:sz w:val="18"/>
      <w:szCs w:val="18"/>
      <w:lang w:val="en-US" w:eastAsia="zh-CN" w:bidi="ar-SA"/>
    </w:rPr>
  </w:style>
  <w:style w:type="character" w:customStyle="1" w:styleId="123">
    <w:name w:val="正文首行缩进 2 Char"/>
    <w:link w:val="41"/>
    <w:autoRedefine/>
    <w:qFormat/>
    <w:uiPriority w:val="0"/>
    <w:rPr>
      <w:rFonts w:eastAsia="宋体"/>
      <w:kern w:val="2"/>
      <w:sz w:val="24"/>
      <w:szCs w:val="24"/>
      <w:lang w:val="en-US" w:eastAsia="zh-CN" w:bidi="ar-SA"/>
    </w:rPr>
  </w:style>
  <w:style w:type="character" w:customStyle="1" w:styleId="124">
    <w:name w:val="正文重点 Char"/>
    <w:link w:val="125"/>
    <w:autoRedefine/>
    <w:qFormat/>
    <w:uiPriority w:val="0"/>
    <w:rPr>
      <w:b/>
      <w:sz w:val="24"/>
    </w:rPr>
  </w:style>
  <w:style w:type="paragraph" w:customStyle="1" w:styleId="125">
    <w:name w:val="正文重点"/>
    <w:basedOn w:val="1"/>
    <w:link w:val="124"/>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126">
    <w:name w:val="c21"/>
    <w:autoRedefine/>
    <w:qFormat/>
    <w:uiPriority w:val="0"/>
    <w:rPr>
      <w:rFonts w:hint="default" w:ascii="ˎ̥" w:hAnsi="ˎ̥"/>
      <w:color w:val="000000"/>
      <w:sz w:val="20"/>
      <w:szCs w:val="20"/>
      <w:u w:val="none"/>
    </w:rPr>
  </w:style>
  <w:style w:type="paragraph" w:customStyle="1" w:styleId="127">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128">
    <w:name w:val="Char22"/>
    <w:basedOn w:val="1"/>
    <w:autoRedefine/>
    <w:qFormat/>
    <w:uiPriority w:val="0"/>
    <w:rPr>
      <w:rFonts w:ascii="Tahoma" w:hAnsi="Tahoma"/>
      <w:sz w:val="24"/>
      <w:szCs w:val="20"/>
    </w:rPr>
  </w:style>
  <w:style w:type="paragraph" w:customStyle="1" w:styleId="129">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30">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131">
    <w:name w:val="Char Char Char2"/>
    <w:basedOn w:val="1"/>
    <w:autoRedefine/>
    <w:qFormat/>
    <w:uiPriority w:val="0"/>
    <w:rPr>
      <w:rFonts w:ascii="Tahoma" w:hAnsi="Tahoma"/>
      <w:sz w:val="24"/>
      <w:szCs w:val="20"/>
    </w:rPr>
  </w:style>
  <w:style w:type="paragraph" w:customStyle="1" w:styleId="132">
    <w:name w:val="Char Char Char1 Char2"/>
    <w:basedOn w:val="1"/>
    <w:autoRedefine/>
    <w:qFormat/>
    <w:uiPriority w:val="0"/>
    <w:rPr>
      <w:rFonts w:ascii="Tahoma" w:hAnsi="Tahoma"/>
      <w:sz w:val="24"/>
      <w:szCs w:val="20"/>
    </w:rPr>
  </w:style>
  <w:style w:type="paragraph" w:customStyle="1" w:styleId="133">
    <w:name w:val="列出段落2"/>
    <w:basedOn w:val="1"/>
    <w:autoRedefine/>
    <w:qFormat/>
    <w:uiPriority w:val="0"/>
    <w:pPr>
      <w:ind w:firstLine="420" w:firstLineChars="200"/>
    </w:pPr>
    <w:rPr>
      <w:rFonts w:ascii="Calibri" w:hAnsi="Calibri"/>
      <w:szCs w:val="22"/>
    </w:rPr>
  </w:style>
  <w:style w:type="paragraph" w:customStyle="1" w:styleId="134">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3"/>
    <w:basedOn w:val="1"/>
    <w:autoRedefine/>
    <w:qFormat/>
    <w:uiPriority w:val="0"/>
    <w:pPr>
      <w:tabs>
        <w:tab w:val="left" w:pos="360"/>
      </w:tabs>
    </w:pPr>
    <w:rPr>
      <w:sz w:val="24"/>
    </w:rPr>
  </w:style>
  <w:style w:type="paragraph" w:customStyle="1" w:styleId="136">
    <w:name w:val="无标题条"/>
    <w:next w:val="1"/>
    <w:autoRedefine/>
    <w:qFormat/>
    <w:uiPriority w:val="0"/>
    <w:pPr>
      <w:jc w:val="both"/>
    </w:pPr>
    <w:rPr>
      <w:rFonts w:ascii="Times New Roman" w:hAnsi="Times New Roman" w:eastAsia="宋体" w:cs="Times New Roman"/>
      <w:sz w:val="21"/>
      <w:lang w:val="en-US" w:eastAsia="zh-CN" w:bidi="ar-SA"/>
    </w:rPr>
  </w:style>
  <w:style w:type="paragraph" w:customStyle="1" w:styleId="137">
    <w:name w:val="正文须知-3级"/>
    <w:basedOn w:val="1"/>
    <w:autoRedefine/>
    <w:qFormat/>
    <w:uiPriority w:val="0"/>
    <w:pPr>
      <w:adjustRightInd w:val="0"/>
      <w:snapToGrid w:val="0"/>
      <w:spacing w:line="300" w:lineRule="auto"/>
      <w:ind w:left="851" w:hanging="355" w:hangingChars="355"/>
    </w:pPr>
    <w:rPr>
      <w:rFonts w:ascii="宋体" w:hAnsi="Calibri"/>
      <w:sz w:val="24"/>
      <w:szCs w:val="21"/>
    </w:rPr>
  </w:style>
  <w:style w:type="paragraph" w:customStyle="1" w:styleId="138">
    <w:name w:val="正文须知-1级"/>
    <w:basedOn w:val="1"/>
    <w:next w:val="1"/>
    <w:autoRedefine/>
    <w:qFormat/>
    <w:uiPriority w:val="0"/>
    <w:pPr>
      <w:adjustRightInd w:val="0"/>
      <w:snapToGrid w:val="0"/>
      <w:spacing w:line="300" w:lineRule="auto"/>
      <w:ind w:left="680" w:hanging="680"/>
    </w:pPr>
    <w:rPr>
      <w:rFonts w:ascii="宋体" w:hAnsi="Calibri"/>
      <w:sz w:val="24"/>
      <w:szCs w:val="21"/>
    </w:rPr>
  </w:style>
  <w:style w:type="paragraph" w:customStyle="1" w:styleId="139">
    <w:name w:val="标题1-附件"/>
    <w:basedOn w:val="3"/>
    <w:autoRedefine/>
    <w:qFormat/>
    <w:uiPriority w:val="0"/>
    <w:pPr>
      <w:jc w:val="left"/>
    </w:pPr>
    <w:rPr>
      <w:sz w:val="24"/>
      <w:szCs w:val="24"/>
    </w:rPr>
  </w:style>
  <w:style w:type="paragraph" w:customStyle="1" w:styleId="140">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41">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paragraph" w:customStyle="1" w:styleId="142">
    <w:name w:val="Char3 Char Char Char1"/>
    <w:basedOn w:val="1"/>
    <w:autoRedefine/>
    <w:qFormat/>
    <w:uiPriority w:val="0"/>
    <w:rPr>
      <w:rFonts w:ascii="Tahoma" w:hAnsi="Tahoma"/>
      <w:sz w:val="24"/>
      <w:szCs w:val="20"/>
    </w:rPr>
  </w:style>
  <w:style w:type="paragraph" w:customStyle="1" w:styleId="143">
    <w:name w:val="Char Char4"/>
    <w:basedOn w:val="1"/>
    <w:autoRedefine/>
    <w:qFormat/>
    <w:uiPriority w:val="0"/>
    <w:pPr>
      <w:widowControl/>
      <w:spacing w:line="400" w:lineRule="exact"/>
      <w:jc w:val="center"/>
    </w:pPr>
  </w:style>
  <w:style w:type="paragraph" w:customStyle="1" w:styleId="144">
    <w:name w:val="Char2 Char Char Char Char Char Char"/>
    <w:basedOn w:val="1"/>
    <w:autoRedefine/>
    <w:qFormat/>
    <w:uiPriority w:val="0"/>
    <w:pPr>
      <w:widowControl/>
      <w:spacing w:line="400" w:lineRule="exact"/>
      <w:jc w:val="center"/>
    </w:pPr>
  </w:style>
  <w:style w:type="paragraph" w:styleId="14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Char Char Char Char Char Char Char Char Char Char1"/>
    <w:basedOn w:val="1"/>
    <w:autoRedefine/>
    <w:qFormat/>
    <w:uiPriority w:val="0"/>
    <w:rPr>
      <w:rFonts w:ascii="宋体" w:hAnsi="宋体" w:cs="Courier New"/>
      <w:sz w:val="32"/>
      <w:szCs w:val="32"/>
    </w:rPr>
  </w:style>
  <w:style w:type="paragraph" w:customStyle="1" w:styleId="147">
    <w:name w:val="表格文字"/>
    <w:basedOn w:val="19"/>
    <w:autoRedefine/>
    <w:qFormat/>
    <w:uiPriority w:val="0"/>
    <w:pPr>
      <w:spacing w:before="20" w:after="20" w:line="240" w:lineRule="auto"/>
      <w:ind w:firstLine="0"/>
    </w:pPr>
    <w:rPr>
      <w:rFonts w:ascii="Century Gothic" w:hAnsi="Century Gothic"/>
      <w:sz w:val="20"/>
      <w:szCs w:val="20"/>
    </w:rPr>
  </w:style>
  <w:style w:type="paragraph" w:customStyle="1" w:styleId="148">
    <w:name w:val="Char21"/>
    <w:basedOn w:val="1"/>
    <w:autoRedefine/>
    <w:qFormat/>
    <w:uiPriority w:val="0"/>
    <w:rPr>
      <w:rFonts w:ascii="Tahoma" w:hAnsi="Tahoma"/>
      <w:sz w:val="24"/>
      <w:szCs w:val="20"/>
    </w:rPr>
  </w:style>
  <w:style w:type="paragraph" w:customStyle="1" w:styleId="149">
    <w:name w:val="项目编号3"/>
    <w:basedOn w:val="150"/>
    <w:autoRedefine/>
    <w:qFormat/>
    <w:uiPriority w:val="0"/>
    <w:pPr>
      <w:ind w:left="902" w:hanging="420"/>
    </w:pPr>
  </w:style>
  <w:style w:type="paragraph" w:customStyle="1" w:styleId="150">
    <w:name w:val="正文文本样式"/>
    <w:basedOn w:val="1"/>
    <w:autoRedefine/>
    <w:qFormat/>
    <w:uiPriority w:val="0"/>
    <w:pPr>
      <w:spacing w:line="360" w:lineRule="auto"/>
      <w:ind w:firstLine="482"/>
    </w:pPr>
    <w:rPr>
      <w:rFonts w:cs="宋体"/>
      <w:sz w:val="24"/>
      <w:szCs w:val="20"/>
    </w:rPr>
  </w:style>
  <w:style w:type="paragraph" w:customStyle="1" w:styleId="151">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2">
    <w:name w:val="Char Char Char Char Char Char Char Char Char Char2"/>
    <w:basedOn w:val="1"/>
    <w:autoRedefine/>
    <w:qFormat/>
    <w:uiPriority w:val="0"/>
    <w:rPr>
      <w:rFonts w:ascii="宋体" w:hAnsi="宋体" w:cs="Courier New"/>
      <w:sz w:val="32"/>
      <w:szCs w:val="32"/>
    </w:rPr>
  </w:style>
  <w:style w:type="paragraph" w:customStyle="1" w:styleId="153">
    <w:name w:val="列出段落1"/>
    <w:basedOn w:val="1"/>
    <w:autoRedefine/>
    <w:qFormat/>
    <w:uiPriority w:val="34"/>
    <w:pPr>
      <w:ind w:firstLine="420" w:firstLineChars="200"/>
    </w:pPr>
    <w:rPr>
      <w:rFonts w:ascii="Calibri" w:hAnsi="Calibri"/>
      <w:szCs w:val="22"/>
    </w:rPr>
  </w:style>
  <w:style w:type="paragraph" w:customStyle="1" w:styleId="15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5">
    <w:name w:val="正文 + 楷体_GB2312"/>
    <w:basedOn w:val="1"/>
    <w:autoRedefine/>
    <w:qFormat/>
    <w:uiPriority w:val="0"/>
    <w:pPr>
      <w:widowControl/>
      <w:jc w:val="left"/>
    </w:pPr>
    <w:rPr>
      <w:rFonts w:ascii="楷体_GB2312" w:eastAsia="楷体_GB2312" w:cs="Arial"/>
      <w:kern w:val="0"/>
      <w:sz w:val="24"/>
    </w:rPr>
  </w:style>
  <w:style w:type="paragraph" w:customStyle="1" w:styleId="156">
    <w:name w:val="正文须知-2级"/>
    <w:basedOn w:val="1"/>
    <w:autoRedefine/>
    <w:qFormat/>
    <w:uiPriority w:val="0"/>
    <w:pPr>
      <w:adjustRightInd w:val="0"/>
      <w:snapToGrid w:val="0"/>
      <w:spacing w:line="300" w:lineRule="auto"/>
      <w:ind w:left="851" w:hanging="851"/>
    </w:pPr>
    <w:rPr>
      <w:rFonts w:ascii="宋体" w:hAnsi="Calibri"/>
      <w:sz w:val="24"/>
      <w:szCs w:val="21"/>
    </w:rPr>
  </w:style>
  <w:style w:type="paragraph" w:customStyle="1" w:styleId="157">
    <w:name w:val="样式2"/>
    <w:basedOn w:val="38"/>
    <w:autoRedefine/>
    <w:qFormat/>
    <w:uiPriority w:val="0"/>
    <w:pPr>
      <w:spacing w:line="360" w:lineRule="auto"/>
      <w:jc w:val="center"/>
    </w:pPr>
    <w:rPr>
      <w:sz w:val="24"/>
    </w:rPr>
  </w:style>
  <w:style w:type="paragraph" w:customStyle="1" w:styleId="158">
    <w:name w:val="正文文本样式 加粗"/>
    <w:basedOn w:val="150"/>
    <w:autoRedefine/>
    <w:qFormat/>
    <w:uiPriority w:val="0"/>
    <w:rPr>
      <w:b/>
    </w:rPr>
  </w:style>
  <w:style w:type="paragraph" w:customStyle="1" w:styleId="159">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60">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61">
    <w:name w:val="缺省文本"/>
    <w:basedOn w:val="1"/>
    <w:autoRedefine/>
    <w:qFormat/>
    <w:uiPriority w:val="0"/>
    <w:pPr>
      <w:autoSpaceDE w:val="0"/>
      <w:autoSpaceDN w:val="0"/>
      <w:adjustRightInd w:val="0"/>
      <w:jc w:val="left"/>
    </w:pPr>
    <w:rPr>
      <w:kern w:val="0"/>
      <w:sz w:val="24"/>
    </w:rPr>
  </w:style>
  <w:style w:type="paragraph" w:customStyle="1" w:styleId="162">
    <w:name w:val="Char Char Char1"/>
    <w:basedOn w:val="1"/>
    <w:autoRedefine/>
    <w:qFormat/>
    <w:uiPriority w:val="0"/>
    <w:rPr>
      <w:rFonts w:ascii="Tahoma" w:hAnsi="Tahoma"/>
      <w:sz w:val="24"/>
      <w:szCs w:val="20"/>
    </w:rPr>
  </w:style>
  <w:style w:type="paragraph" w:customStyle="1" w:styleId="163">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4">
    <w:name w:val="Char Char Char"/>
    <w:basedOn w:val="1"/>
    <w:autoRedefine/>
    <w:qFormat/>
    <w:uiPriority w:val="0"/>
    <w:rPr>
      <w:rFonts w:ascii="Tahoma" w:hAnsi="Tahoma"/>
      <w:sz w:val="24"/>
      <w:szCs w:val="20"/>
    </w:rPr>
  </w:style>
  <w:style w:type="paragraph" w:customStyle="1" w:styleId="16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6">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16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默认段落字体 Para Char Char Char Char"/>
    <w:basedOn w:val="1"/>
    <w:autoRedefine/>
    <w:qFormat/>
    <w:uiPriority w:val="0"/>
    <w:rPr>
      <w:rFonts w:ascii="Arial" w:hAnsi="Arial" w:cs="Arial"/>
      <w:szCs w:val="21"/>
    </w:rPr>
  </w:style>
  <w:style w:type="paragraph" w:customStyle="1" w:styleId="17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1">
    <w:name w:val="正文列项_字母"/>
    <w:basedOn w:val="1"/>
    <w:autoRedefine/>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72">
    <w:name w:val="Char1"/>
    <w:basedOn w:val="1"/>
    <w:autoRedefine/>
    <w:qFormat/>
    <w:uiPriority w:val="0"/>
    <w:pPr>
      <w:tabs>
        <w:tab w:val="left" w:pos="360"/>
      </w:tabs>
    </w:pPr>
    <w:rPr>
      <w:sz w:val="24"/>
    </w:rPr>
  </w:style>
  <w:style w:type="paragraph" w:customStyle="1" w:styleId="173">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4">
    <w:name w:val="Char Char Char Char Char Char Char Char Char Char"/>
    <w:basedOn w:val="1"/>
    <w:autoRedefine/>
    <w:qFormat/>
    <w:uiPriority w:val="0"/>
  </w:style>
  <w:style w:type="paragraph" w:customStyle="1" w:styleId="175">
    <w:name w:val="Char Char Char1 Char1"/>
    <w:basedOn w:val="1"/>
    <w:autoRedefine/>
    <w:qFormat/>
    <w:uiPriority w:val="0"/>
    <w:rPr>
      <w:rFonts w:ascii="Tahoma" w:hAnsi="Tahoma"/>
      <w:sz w:val="24"/>
      <w:szCs w:val="20"/>
    </w:rPr>
  </w:style>
  <w:style w:type="paragraph" w:customStyle="1" w:styleId="176">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7">
    <w:name w:val="1名"/>
    <w:basedOn w:val="1"/>
    <w:autoRedefine/>
    <w:qFormat/>
    <w:uiPriority w:val="0"/>
    <w:pPr>
      <w:tabs>
        <w:tab w:val="left" w:pos="360"/>
      </w:tabs>
      <w:spacing w:before="120"/>
      <w:ind w:left="360" w:hanging="360"/>
    </w:pPr>
    <w:rPr>
      <w:rFonts w:ascii="宋体"/>
      <w:sz w:val="28"/>
      <w:szCs w:val="20"/>
    </w:rPr>
  </w:style>
  <w:style w:type="paragraph" w:customStyle="1" w:styleId="178">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8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81">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82">
    <w:name w:val="五级条标题"/>
    <w:basedOn w:val="183"/>
    <w:next w:val="1"/>
    <w:autoRedefine/>
    <w:qFormat/>
    <w:uiPriority w:val="0"/>
    <w:pPr>
      <w:tabs>
        <w:tab w:val="left" w:pos="360"/>
        <w:tab w:val="left" w:pos="840"/>
      </w:tabs>
      <w:outlineLvl w:val="5"/>
    </w:pPr>
  </w:style>
  <w:style w:type="paragraph" w:customStyle="1" w:styleId="183">
    <w:name w:val="四级条标题"/>
    <w:basedOn w:val="184"/>
    <w:next w:val="1"/>
    <w:autoRedefine/>
    <w:qFormat/>
    <w:uiPriority w:val="0"/>
    <w:pPr>
      <w:tabs>
        <w:tab w:val="left" w:pos="360"/>
        <w:tab w:val="left" w:pos="840"/>
      </w:tabs>
      <w:outlineLvl w:val="4"/>
    </w:pPr>
  </w:style>
  <w:style w:type="paragraph" w:customStyle="1" w:styleId="184">
    <w:name w:val="三级条标题"/>
    <w:basedOn w:val="185"/>
    <w:next w:val="1"/>
    <w:autoRedefine/>
    <w:qFormat/>
    <w:uiPriority w:val="0"/>
    <w:pPr>
      <w:tabs>
        <w:tab w:val="left" w:pos="360"/>
        <w:tab w:val="left" w:pos="840"/>
      </w:tabs>
      <w:outlineLvl w:val="3"/>
    </w:pPr>
  </w:style>
  <w:style w:type="paragraph" w:customStyle="1" w:styleId="185">
    <w:name w:val="二级条标题"/>
    <w:basedOn w:val="186"/>
    <w:next w:val="1"/>
    <w:autoRedefine/>
    <w:qFormat/>
    <w:uiPriority w:val="0"/>
    <w:pPr>
      <w:tabs>
        <w:tab w:val="left" w:pos="360"/>
        <w:tab w:val="left" w:pos="840"/>
      </w:tabs>
      <w:outlineLvl w:val="2"/>
    </w:pPr>
    <w:rPr>
      <w:rFonts w:ascii="宋体" w:eastAsia="宋体"/>
      <w:b w:val="0"/>
    </w:rPr>
  </w:style>
  <w:style w:type="paragraph" w:customStyle="1" w:styleId="186">
    <w:name w:val="一级条标题"/>
    <w:basedOn w:val="187"/>
    <w:next w:val="1"/>
    <w:autoRedefine/>
    <w:qFormat/>
    <w:uiPriority w:val="0"/>
    <w:pPr>
      <w:tabs>
        <w:tab w:val="left" w:pos="360"/>
        <w:tab w:val="left" w:pos="840"/>
      </w:tabs>
      <w:ind w:hanging="840"/>
      <w:outlineLvl w:val="1"/>
    </w:pPr>
  </w:style>
  <w:style w:type="paragraph" w:customStyle="1" w:styleId="187">
    <w:name w:val="章标题"/>
    <w:next w:val="1"/>
    <w:autoRedefine/>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8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9">
    <w:name w:val="图文"/>
    <w:basedOn w:val="1"/>
    <w:autoRedefine/>
    <w:qFormat/>
    <w:uiPriority w:val="0"/>
    <w:pPr>
      <w:adjustRightInd w:val="0"/>
      <w:snapToGrid w:val="0"/>
      <w:spacing w:after="50" w:line="360" w:lineRule="auto"/>
    </w:pPr>
    <w:rPr>
      <w:sz w:val="24"/>
    </w:rPr>
  </w:style>
  <w:style w:type="paragraph" w:customStyle="1" w:styleId="190">
    <w:name w:val="1 Char Char Char Char"/>
    <w:basedOn w:val="1"/>
    <w:autoRedefine/>
    <w:qFormat/>
    <w:uiPriority w:val="0"/>
    <w:rPr>
      <w:rFonts w:ascii="Tahoma" w:hAnsi="Tahoma"/>
      <w:sz w:val="24"/>
      <w:szCs w:val="20"/>
    </w:rPr>
  </w:style>
  <w:style w:type="paragraph" w:customStyle="1" w:styleId="191">
    <w:name w:val="Char3 Char Char Char2"/>
    <w:basedOn w:val="1"/>
    <w:autoRedefine/>
    <w:qFormat/>
    <w:uiPriority w:val="0"/>
    <w:rPr>
      <w:rFonts w:ascii="Tahoma" w:hAnsi="Tahoma"/>
      <w:sz w:val="24"/>
      <w:szCs w:val="20"/>
    </w:rPr>
  </w:style>
  <w:style w:type="paragraph" w:customStyle="1" w:styleId="192">
    <w:name w:val="项目符号1"/>
    <w:basedOn w:val="150"/>
    <w:autoRedefine/>
    <w:qFormat/>
    <w:uiPriority w:val="0"/>
    <w:pPr>
      <w:ind w:left="-25" w:firstLine="0"/>
    </w:pPr>
  </w:style>
  <w:style w:type="paragraph" w:customStyle="1" w:styleId="193">
    <w:name w:val="List Paragraph1"/>
    <w:basedOn w:val="1"/>
    <w:autoRedefine/>
    <w:qFormat/>
    <w:uiPriority w:val="0"/>
    <w:pPr>
      <w:ind w:firstLine="420" w:firstLineChars="200"/>
    </w:pPr>
    <w:rPr>
      <w:rFonts w:ascii="Calibri" w:hAnsi="Calibri"/>
      <w:szCs w:val="22"/>
    </w:rPr>
  </w:style>
  <w:style w:type="paragraph" w:customStyle="1" w:styleId="194">
    <w:name w:val="样式 标题 2 + 宋体 五号 行距: 单倍行距"/>
    <w:basedOn w:val="4"/>
    <w:autoRedefine/>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95">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96">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97">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9">
    <w:name w:val="文档正文"/>
    <w:basedOn w:val="1"/>
    <w:autoRedefine/>
    <w:qFormat/>
    <w:uiPriority w:val="0"/>
    <w:pPr>
      <w:snapToGrid w:val="0"/>
      <w:spacing w:before="120" w:after="120" w:line="180" w:lineRule="auto"/>
    </w:pPr>
    <w:rPr>
      <w:rFonts w:ascii="Arial" w:hAnsi="Arial"/>
      <w:szCs w:val="20"/>
    </w:rPr>
  </w:style>
  <w:style w:type="paragraph" w:customStyle="1" w:styleId="200">
    <w:name w:val="Char Char1"/>
    <w:basedOn w:val="15"/>
    <w:autoRedefine/>
    <w:qFormat/>
    <w:uiPriority w:val="0"/>
    <w:rPr>
      <w:rFonts w:ascii="Tahoma" w:hAnsi="Tahoma"/>
      <w:sz w:val="24"/>
    </w:rPr>
  </w:style>
  <w:style w:type="paragraph" w:customStyle="1" w:styleId="20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3">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04">
    <w:name w:val="Char"/>
    <w:basedOn w:val="1"/>
    <w:autoRedefine/>
    <w:qFormat/>
    <w:uiPriority w:val="0"/>
    <w:pPr>
      <w:tabs>
        <w:tab w:val="left" w:pos="360"/>
      </w:tabs>
    </w:pPr>
    <w:rPr>
      <w:sz w:val="24"/>
    </w:rPr>
  </w:style>
  <w:style w:type="paragraph" w:customStyle="1" w:styleId="205">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6">
    <w:name w:val="font8"/>
    <w:basedOn w:val="1"/>
    <w:autoRedefine/>
    <w:qFormat/>
    <w:uiPriority w:val="0"/>
    <w:pPr>
      <w:widowControl/>
      <w:spacing w:before="100" w:beforeAutospacing="1" w:after="100" w:afterAutospacing="1"/>
      <w:jc w:val="left"/>
    </w:pPr>
    <w:rPr>
      <w:kern w:val="0"/>
      <w:sz w:val="36"/>
      <w:szCs w:val="36"/>
    </w:rPr>
  </w:style>
  <w:style w:type="paragraph" w:customStyle="1" w:styleId="20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08">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0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0">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211">
    <w:name w:val="表格1"/>
    <w:basedOn w:val="1"/>
    <w:autoRedefine/>
    <w:qFormat/>
    <w:uiPriority w:val="0"/>
    <w:pPr>
      <w:ind w:firstLine="480" w:firstLineChars="200"/>
      <w:jc w:val="center"/>
    </w:pPr>
    <w:rPr>
      <w:sz w:val="24"/>
      <w:szCs w:val="20"/>
    </w:rPr>
  </w:style>
  <w:style w:type="paragraph" w:customStyle="1" w:styleId="212">
    <w:name w:val="Char1 Char Char Char1"/>
    <w:basedOn w:val="1"/>
    <w:autoRedefine/>
    <w:qFormat/>
    <w:uiPriority w:val="0"/>
    <w:rPr>
      <w:rFonts w:ascii="Tahoma" w:hAnsi="Tahoma" w:cs="仿宋_GB2312"/>
      <w:sz w:val="24"/>
      <w:szCs w:val="28"/>
    </w:rPr>
  </w:style>
  <w:style w:type="paragraph" w:customStyle="1" w:styleId="213">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15">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216">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7">
    <w:name w:val="字元 字元1"/>
    <w:basedOn w:val="1"/>
    <w:autoRedefine/>
    <w:qFormat/>
    <w:uiPriority w:val="0"/>
    <w:rPr>
      <w:rFonts w:ascii="Tahoma" w:hAnsi="Tahoma"/>
      <w:sz w:val="24"/>
      <w:szCs w:val="20"/>
    </w:rPr>
  </w:style>
  <w:style w:type="paragraph" w:customStyle="1" w:styleId="218">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9">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2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1">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2">
    <w:name w:val="Char2"/>
    <w:basedOn w:val="1"/>
    <w:autoRedefine/>
    <w:qFormat/>
    <w:uiPriority w:val="0"/>
    <w:rPr>
      <w:rFonts w:ascii="Tahoma" w:hAnsi="Tahoma"/>
      <w:sz w:val="24"/>
      <w:szCs w:val="20"/>
    </w:rPr>
  </w:style>
  <w:style w:type="paragraph" w:customStyle="1" w:styleId="22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24">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5">
    <w:name w:val="图中文字"/>
    <w:basedOn w:val="1"/>
    <w:autoRedefine/>
    <w:qFormat/>
    <w:uiPriority w:val="0"/>
    <w:pPr>
      <w:adjustRightInd w:val="0"/>
      <w:snapToGrid w:val="0"/>
      <w:spacing w:line="0" w:lineRule="atLeast"/>
      <w:jc w:val="center"/>
    </w:pPr>
    <w:rPr>
      <w:sz w:val="24"/>
      <w:szCs w:val="20"/>
    </w:rPr>
  </w:style>
  <w:style w:type="paragraph" w:customStyle="1" w:styleId="226">
    <w:name w:val="项目编号1"/>
    <w:basedOn w:val="1"/>
    <w:autoRedefine/>
    <w:qFormat/>
    <w:uiPriority w:val="0"/>
    <w:pPr>
      <w:spacing w:before="100" w:beforeAutospacing="1" w:after="100" w:afterAutospacing="1" w:line="360" w:lineRule="auto"/>
      <w:ind w:left="420" w:hanging="420"/>
    </w:pPr>
    <w:rPr>
      <w:sz w:val="24"/>
    </w:rPr>
  </w:style>
  <w:style w:type="paragraph" w:customStyle="1" w:styleId="227">
    <w:name w:val="项目编号2"/>
    <w:basedOn w:val="226"/>
    <w:autoRedefine/>
    <w:qFormat/>
    <w:uiPriority w:val="0"/>
  </w:style>
  <w:style w:type="paragraph" w:customStyle="1" w:styleId="228">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29">
    <w:name w:val="Char Char41"/>
    <w:basedOn w:val="1"/>
    <w:autoRedefine/>
    <w:qFormat/>
    <w:uiPriority w:val="0"/>
    <w:pPr>
      <w:widowControl/>
      <w:spacing w:line="400" w:lineRule="exact"/>
      <w:jc w:val="center"/>
    </w:pPr>
  </w:style>
  <w:style w:type="paragraph" w:customStyle="1" w:styleId="230">
    <w:name w:val="Char3 Char Char Char"/>
    <w:basedOn w:val="1"/>
    <w:autoRedefine/>
    <w:qFormat/>
    <w:uiPriority w:val="0"/>
    <w:rPr>
      <w:rFonts w:ascii="Tahoma" w:hAnsi="Tahoma"/>
      <w:sz w:val="24"/>
      <w:szCs w:val="20"/>
    </w:rPr>
  </w:style>
  <w:style w:type="paragraph" w:customStyle="1" w:styleId="231">
    <w:name w:val="字元 字元2"/>
    <w:basedOn w:val="1"/>
    <w:autoRedefine/>
    <w:qFormat/>
    <w:uiPriority w:val="0"/>
    <w:rPr>
      <w:rFonts w:ascii="Tahoma" w:hAnsi="Tahoma"/>
      <w:sz w:val="24"/>
      <w:szCs w:val="20"/>
    </w:rPr>
  </w:style>
  <w:style w:type="paragraph" w:customStyle="1" w:styleId="232">
    <w:name w:val="字元 字元"/>
    <w:basedOn w:val="1"/>
    <w:autoRedefine/>
    <w:qFormat/>
    <w:uiPriority w:val="0"/>
    <w:rPr>
      <w:rFonts w:ascii="Tahoma" w:hAnsi="Tahoma"/>
      <w:sz w:val="24"/>
      <w:szCs w:val="20"/>
    </w:rPr>
  </w:style>
  <w:style w:type="paragraph" w:customStyle="1" w:styleId="233">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34">
    <w:name w:val="图例"/>
    <w:basedOn w:val="1"/>
    <w:autoRedefine/>
    <w:qFormat/>
    <w:uiPriority w:val="0"/>
    <w:pPr>
      <w:spacing w:before="120" w:after="120" w:line="360" w:lineRule="auto"/>
      <w:jc w:val="center"/>
    </w:pPr>
    <w:rPr>
      <w:rFonts w:eastAsia="仿宋_GB2312"/>
      <w:b/>
      <w:sz w:val="24"/>
      <w:szCs w:val="20"/>
    </w:rPr>
  </w:style>
  <w:style w:type="paragraph" w:customStyle="1" w:styleId="23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6">
    <w:name w:val="Char Char Char1 Char"/>
    <w:basedOn w:val="1"/>
    <w:autoRedefine/>
    <w:qFormat/>
    <w:uiPriority w:val="0"/>
    <w:rPr>
      <w:rFonts w:ascii="Tahoma" w:hAnsi="Tahoma"/>
      <w:sz w:val="24"/>
      <w:szCs w:val="20"/>
    </w:rPr>
  </w:style>
  <w:style w:type="paragraph" w:customStyle="1" w:styleId="237">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3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4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1">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242">
    <w:name w:val="正文列项_数字"/>
    <w:basedOn w:val="1"/>
    <w:autoRedefine/>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243">
    <w:name w:val="Char2 Char Char Char Char Char Char1"/>
    <w:basedOn w:val="1"/>
    <w:autoRedefine/>
    <w:qFormat/>
    <w:uiPriority w:val="0"/>
    <w:pPr>
      <w:widowControl/>
      <w:spacing w:line="400" w:lineRule="exact"/>
      <w:jc w:val="center"/>
    </w:pPr>
  </w:style>
  <w:style w:type="paragraph" w:customStyle="1" w:styleId="24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table" w:customStyle="1" w:styleId="246">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47">
    <w:name w:val="中等深浅网格 1 - 着色 21"/>
    <w:basedOn w:val="42"/>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paragraph" w:customStyle="1" w:styleId="248">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249">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50">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character" w:customStyle="1" w:styleId="251">
    <w:name w:val="font61"/>
    <w:basedOn w:val="44"/>
    <w:autoRedefine/>
    <w:qFormat/>
    <w:uiPriority w:val="0"/>
    <w:rPr>
      <w:rFonts w:hint="eastAsia" w:ascii="宋体" w:hAnsi="宋体" w:eastAsia="宋体" w:cs="宋体"/>
      <w:color w:val="000000"/>
      <w:sz w:val="20"/>
      <w:szCs w:val="20"/>
      <w:u w:val="none"/>
    </w:rPr>
  </w:style>
  <w:style w:type="character" w:customStyle="1" w:styleId="252">
    <w:name w:val="font51"/>
    <w:basedOn w:val="44"/>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E41B3-5A4F-420F-8737-5806ECB77D88}">
  <ds:schemaRefs/>
</ds:datastoreItem>
</file>

<file path=docProps/app.xml><?xml version="1.0" encoding="utf-8"?>
<Properties xmlns="http://schemas.openxmlformats.org/officeDocument/2006/extended-properties" xmlns:vt="http://schemas.openxmlformats.org/officeDocument/2006/docPropsVTypes">
  <Template>Normal</Template>
  <Pages>82</Pages>
  <Words>6287</Words>
  <Characters>35842</Characters>
  <Lines>298</Lines>
  <Paragraphs>84</Paragraphs>
  <TotalTime>0</TotalTime>
  <ScaleCrop>false</ScaleCrop>
  <LinksUpToDate>false</LinksUpToDate>
  <CharactersWithSpaces>42045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2022-04-22T04:23:00Z</dcterms:created>
  <dc:creator>尹皓</dc:creator>
  <cp:lastModifiedBy>崔云龙</cp:lastModifiedBy>
  <cp:lastPrinted>2020-04-02T03:13:00Z</cp:lastPrinted>
  <dcterms:modified xsi:type="dcterms:W3CDTF">2024-05-16T04:40:31Z</dcterms:modified>
  <dc:title>02年杜范本稿</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DC16D8C2780A464A98323DBAC525C01E</vt:lpwstr>
  </property>
</Properties>
</file>